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阳谷沪农商村镇银行2021年社会责任报告</w:t>
      </w:r>
    </w:p>
    <w:p>
      <w:pPr>
        <w:pStyle w:val="5"/>
        <w:rPr>
          <w:rFonts w:hint="eastAsia"/>
          <w:highlight w:val="none"/>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6"/>
          <w:szCs w:val="36"/>
          <w:highlight w:val="none"/>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目  录</w:t>
      </w:r>
    </w:p>
    <w:p>
      <w:pPr>
        <w:pStyle w:val="3"/>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891" w:firstLineChars="9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第一节 社会责任概况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891" w:firstLineChars="9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第二节 社会责任理念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891" w:firstLineChars="9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第三节 社会责任管理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891" w:firstLineChars="9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第四节 社会责任实践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891" w:firstLineChars="900"/>
        <w:jc w:val="both"/>
        <w:textAlignment w:val="auto"/>
        <w:rPr>
          <w:rFonts w:hint="eastAsia" w:ascii="仿宋_GB2312" w:hAnsi="仿宋_GB2312" w:eastAsia="仿宋_GB2312" w:cs="仿宋_GB2312"/>
          <w:b/>
          <w:bCs/>
          <w:sz w:val="32"/>
          <w:szCs w:val="32"/>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b/>
          <w:bCs/>
          <w:sz w:val="32"/>
          <w:szCs w:val="32"/>
          <w:highlight w:val="none"/>
          <w:lang w:val="en-US" w:eastAsia="zh-CN"/>
        </w:rPr>
        <w:t>第五节 责任展望</w:t>
      </w:r>
    </w:p>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第一节 社会责任概况</w:t>
      </w:r>
    </w:p>
    <w:p>
      <w:pPr>
        <w:keepNext w:val="0"/>
        <w:keepLines w:val="0"/>
        <w:pageBreakBefore w:val="0"/>
        <w:kinsoku/>
        <w:wordWrap/>
        <w:overflowPunct/>
        <w:topLinePunct w:val="0"/>
        <w:autoSpaceDE/>
        <w:autoSpaceDN/>
        <w:bidi w:val="0"/>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报告概况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lang w:val="en-US" w:eastAsia="zh-CN"/>
              </w:rPr>
              <w:t>报告时间范围</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2021年1月1日至2021年12月31日，部分表述及数据适当追溯以往年份。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lang w:val="en-US" w:eastAsia="zh-CN"/>
              </w:rPr>
              <w:t>报告发布周期</w:t>
            </w:r>
          </w:p>
        </w:tc>
        <w:tc>
          <w:tcPr>
            <w:tcW w:w="6803"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本报告为年度报告，也是阳谷沪农商村镇银行发布的首份社会责任报告。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报告组织范围</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阳谷沪农商村镇银行，为便于表达，在下述报告中简称为阳谷村行。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报告数据说明</w:t>
            </w:r>
          </w:p>
        </w:tc>
        <w:tc>
          <w:tcPr>
            <w:tcW w:w="6803"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本报告的数据主要源于阳谷村行。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报告编制依据</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原中国银监会《关于加强银行业金融机构社会责任的意见》</w:t>
            </w:r>
          </w:p>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中国银行业协会《中国银行业金融机构企业社会责任指引》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报告发布方式</w:t>
            </w:r>
          </w:p>
        </w:tc>
        <w:tc>
          <w:tcPr>
            <w:tcW w:w="6803"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报告以电子版形式发布，电子版查询及下载地址：http://yangg.srcbcz.com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联系方式</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部门姓名：综合管理部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left"/>
              <w:textAlignment w:val="auto"/>
              <w:outlineLvl w:val="9"/>
              <w:rPr>
                <w:rFonts w:hint="default" w:ascii="仿宋_GB2312" w:hAnsi="宋体" w:eastAsia="仿宋_GB2312"/>
                <w:color w:val="000000"/>
                <w:sz w:val="32"/>
                <w:szCs w:val="32"/>
                <w:highlight w:val="none"/>
                <w:lang w:val="en-US" w:eastAsia="zh-CN"/>
              </w:rPr>
            </w:pPr>
            <w:r>
              <w:rPr>
                <w:rFonts w:hint="eastAsia" w:ascii="仿宋" w:hAnsi="仿宋" w:eastAsia="仿宋" w:cs="仿宋"/>
                <w:b w:val="0"/>
                <w:bCs w:val="0"/>
                <w:sz w:val="24"/>
                <w:szCs w:val="24"/>
                <w:highlight w:val="none"/>
                <w:vertAlign w:val="baseline"/>
                <w:lang w:val="en-US" w:eastAsia="zh-CN"/>
              </w:rPr>
              <w:t>地址：山东省聊城市阳谷县谷山路65号</w:t>
            </w:r>
          </w:p>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电话：0635-2957222</w:t>
            </w:r>
          </w:p>
        </w:tc>
      </w:tr>
    </w:tbl>
    <w:p>
      <w:pPr>
        <w:keepNext w:val="0"/>
        <w:keepLines w:val="0"/>
        <w:pageBreakBefore w:val="0"/>
        <w:kinsoku/>
        <w:wordWrap/>
        <w:overflowPunct/>
        <w:topLinePunct w:val="0"/>
        <w:autoSpaceDE/>
        <w:autoSpaceDN/>
        <w:bidi w:val="0"/>
        <w:snapToGrid/>
        <w:spacing w:line="600" w:lineRule="exact"/>
        <w:textAlignment w:val="auto"/>
        <w:rPr>
          <w:highlight w:val="none"/>
        </w:rPr>
        <w:sectPr>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阳谷沪农商村镇银行股份有限公司，是经中国银行保险监督管理委员会批准，由上海农村商业银行股份有限公司（总部设在上海的A股上市银行，股票代码601825）发起设立，是国资控股的新型农村金融机构。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法定名称：</w:t>
      </w:r>
      <w:r>
        <w:rPr>
          <w:rFonts w:hint="eastAsia" w:ascii="仿宋_GB2312" w:hAnsi="仿宋_GB2312" w:eastAsia="仿宋_GB2312" w:cs="仿宋_GB2312"/>
          <w:color w:val="auto"/>
          <w:sz w:val="32"/>
          <w:szCs w:val="32"/>
          <w:highlight w:val="none"/>
          <w:lang w:eastAsia="zh-CN"/>
        </w:rPr>
        <w:t>阳谷</w:t>
      </w:r>
      <w:r>
        <w:rPr>
          <w:rFonts w:hint="eastAsia" w:ascii="仿宋_GB2312" w:hAnsi="仿宋_GB2312" w:eastAsia="仿宋_GB2312" w:cs="仿宋_GB2312"/>
          <w:color w:val="auto"/>
          <w:sz w:val="32"/>
          <w:szCs w:val="32"/>
          <w:highlight w:val="none"/>
        </w:rPr>
        <w:t>沪农商村镇银行股份有限公司</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1280" w:firstLineChars="4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中文简称：阳谷沪农商村镇银行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1280" w:firstLineChars="4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宋体" w:eastAsia="仿宋_GB2312" w:cs="Times New Roman"/>
          <w:color w:val="000000"/>
          <w:sz w:val="32"/>
          <w:szCs w:val="32"/>
          <w:highlight w:val="none"/>
          <w:lang w:val="en-US" w:eastAsia="zh-CN"/>
        </w:rPr>
        <w:t>英文名称：YANGGU SHRCB RURAL BANK CO.,LTD.</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法定代表人：</w:t>
      </w:r>
      <w:r>
        <w:rPr>
          <w:rFonts w:hint="eastAsia" w:ascii="仿宋_GB2312" w:hAnsi="仿宋_GB2312" w:eastAsia="仿宋_GB2312" w:cs="仿宋_GB2312"/>
          <w:color w:val="auto"/>
          <w:sz w:val="32"/>
          <w:szCs w:val="32"/>
          <w:highlight w:val="none"/>
          <w:lang w:val="en-US" w:eastAsia="zh-CN"/>
        </w:rPr>
        <w:t>张雪妹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宋体" w:eastAsia="仿宋_GB2312"/>
          <w:color w:val="000000"/>
          <w:sz w:val="32"/>
          <w:szCs w:val="32"/>
          <w:highlight w:val="none"/>
        </w:rPr>
      </w:pPr>
      <w:r>
        <w:rPr>
          <w:rFonts w:hint="eastAsia" w:ascii="仿宋_GB2312" w:hAnsi="仿宋_GB2312" w:eastAsia="仿宋_GB2312" w:cs="仿宋_GB2312"/>
          <w:color w:val="auto"/>
          <w:sz w:val="32"/>
          <w:szCs w:val="32"/>
          <w:highlight w:val="none"/>
          <w:lang w:val="en-US" w:eastAsia="zh-CN"/>
        </w:rPr>
        <w:t>三、注册资本：</w:t>
      </w:r>
      <w:r>
        <w:rPr>
          <w:rFonts w:hint="eastAsia" w:ascii="仿宋_GB2312" w:hAnsi="宋体" w:eastAsia="仿宋_GB2312"/>
          <w:color w:val="000000"/>
          <w:sz w:val="32"/>
          <w:szCs w:val="32"/>
          <w:highlight w:val="none"/>
        </w:rPr>
        <w:t>人民币</w:t>
      </w:r>
      <w:r>
        <w:rPr>
          <w:rFonts w:hint="eastAsia" w:ascii="仿宋_GB2312" w:hAnsi="宋体" w:eastAsia="仿宋_GB2312"/>
          <w:color w:val="000000"/>
          <w:sz w:val="32"/>
          <w:szCs w:val="32"/>
          <w:highlight w:val="none"/>
          <w:lang w:val="en-US" w:eastAsia="zh-CN"/>
        </w:rPr>
        <w:t>6977.62</w:t>
      </w:r>
      <w:r>
        <w:rPr>
          <w:rFonts w:hint="eastAsia" w:ascii="仿宋_GB2312" w:hAnsi="宋体" w:eastAsia="仿宋_GB2312"/>
          <w:color w:val="000000"/>
          <w:sz w:val="32"/>
          <w:szCs w:val="32"/>
          <w:highlight w:val="none"/>
        </w:rPr>
        <w:t>万元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宋体" w:eastAsia="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注册地址及办公地址：山东省</w:t>
      </w:r>
      <w:r>
        <w:rPr>
          <w:rFonts w:hint="eastAsia" w:ascii="仿宋_GB2312" w:hAnsi="仿宋_GB2312" w:eastAsia="仿宋_GB2312" w:cs="仿宋_GB2312"/>
          <w:color w:val="auto"/>
          <w:sz w:val="32"/>
          <w:szCs w:val="32"/>
          <w:highlight w:val="none"/>
          <w:lang w:val="en-US" w:eastAsia="zh-CN"/>
        </w:rPr>
        <w:t>阳谷县谷山路65号</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五、成立时间：2012年6月5日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六、经营范围：</w:t>
      </w:r>
    </w:p>
    <w:p>
      <w:pPr>
        <w:pStyle w:val="7"/>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（一）吸收公众存款；</w:t>
      </w:r>
    </w:p>
    <w:p>
      <w:pPr>
        <w:pStyle w:val="7"/>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（二）发放短期、中期和长期贷款；</w:t>
      </w:r>
    </w:p>
    <w:p>
      <w:pPr>
        <w:pStyle w:val="7"/>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（三）办理国内结算；</w:t>
      </w:r>
    </w:p>
    <w:p>
      <w:pPr>
        <w:pStyle w:val="7"/>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（四）办理票据承兑与贴现；</w:t>
      </w:r>
    </w:p>
    <w:p>
      <w:pPr>
        <w:pStyle w:val="7"/>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（五）从事同业拆借；</w:t>
      </w:r>
    </w:p>
    <w:p>
      <w:pPr>
        <w:pStyle w:val="7"/>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（六）从事银行卡业务；</w:t>
      </w:r>
    </w:p>
    <w:p>
      <w:pPr>
        <w:pStyle w:val="7"/>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（七）代理发行、兑付、承销政府债券；</w:t>
      </w:r>
    </w:p>
    <w:p>
      <w:pPr>
        <w:pStyle w:val="7"/>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（八）代理收付款项及代理保险业务；</w:t>
      </w:r>
    </w:p>
    <w:p>
      <w:pPr>
        <w:pStyle w:val="7"/>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（九）经</w:t>
      </w:r>
      <w:r>
        <w:rPr>
          <w:rFonts w:hint="eastAsia" w:ascii="仿宋_GB2312" w:hAnsi="宋体" w:eastAsia="仿宋_GB2312"/>
          <w:color w:val="000000"/>
          <w:sz w:val="32"/>
          <w:szCs w:val="32"/>
          <w:highlight w:val="none"/>
          <w:lang w:eastAsia="zh-CN"/>
        </w:rPr>
        <w:t>银行保险监督管理机构</w:t>
      </w:r>
      <w:r>
        <w:rPr>
          <w:rFonts w:hint="eastAsia" w:ascii="仿宋_GB2312" w:hAnsi="宋体" w:eastAsia="仿宋_GB2312"/>
          <w:color w:val="000000"/>
          <w:sz w:val="32"/>
          <w:szCs w:val="32"/>
          <w:highlight w:val="none"/>
        </w:rPr>
        <w:t>批准的其他业务。</w:t>
      </w:r>
    </w:p>
    <w:p>
      <w:pPr>
        <w:pStyle w:val="7"/>
        <w:pageBreakBefore w:val="0"/>
        <w:kinsoku/>
        <w:wordWrap/>
        <w:overflowPunct/>
        <w:topLinePunct w:val="0"/>
        <w:autoSpaceDE/>
        <w:autoSpaceDN/>
        <w:bidi w:val="0"/>
        <w:adjustRightInd/>
        <w:spacing w:before="0" w:beforeAutospacing="0" w:after="0" w:afterAutospacing="0" w:line="600" w:lineRule="exact"/>
        <w:jc w:val="lef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（以</w:t>
      </w:r>
      <w:r>
        <w:rPr>
          <w:rFonts w:hint="eastAsia" w:ascii="仿宋_GB2312" w:hAnsi="宋体" w:eastAsia="仿宋_GB2312"/>
          <w:color w:val="000000"/>
          <w:sz w:val="32"/>
          <w:szCs w:val="32"/>
          <w:highlight w:val="none"/>
          <w:lang w:eastAsia="zh-CN"/>
        </w:rPr>
        <w:t>中国银行保险监督管理委员会</w:t>
      </w:r>
      <w:r>
        <w:rPr>
          <w:rFonts w:hint="eastAsia" w:ascii="仿宋_GB2312" w:hAnsi="宋体" w:eastAsia="仿宋_GB2312"/>
          <w:color w:val="000000"/>
          <w:sz w:val="32"/>
          <w:szCs w:val="32"/>
          <w:highlight w:val="none"/>
        </w:rPr>
        <w:t>批准的经营范围为准）</w:t>
      </w:r>
    </w:p>
    <w:p>
      <w:pPr>
        <w:pStyle w:val="7"/>
        <w:pageBreakBefore w:val="0"/>
        <w:numPr>
          <w:ilvl w:val="0"/>
          <w:numId w:val="0"/>
        </w:numPr>
        <w:kinsoku/>
        <w:wordWrap/>
        <w:overflowPunct/>
        <w:topLinePunct w:val="0"/>
        <w:autoSpaceDE/>
        <w:autoSpaceDN/>
        <w:bidi w:val="0"/>
        <w:adjustRightInd/>
        <w:spacing w:before="0" w:beforeAutospacing="0" w:after="0" w:afterAutospacing="0" w:line="600" w:lineRule="exact"/>
        <w:ind w:right="0" w:rightChars="0" w:firstLine="640" w:firstLineChars="200"/>
        <w:jc w:val="left"/>
        <w:textAlignment w:val="auto"/>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七、客服热线：4009962999</w:t>
      </w:r>
    </w:p>
    <w:p>
      <w:pPr>
        <w:pStyle w:val="7"/>
        <w:pageBreakBefore w:val="0"/>
        <w:numPr>
          <w:ilvl w:val="0"/>
          <w:numId w:val="0"/>
        </w:numPr>
        <w:kinsoku/>
        <w:wordWrap/>
        <w:overflowPunct/>
        <w:topLinePunct w:val="0"/>
        <w:autoSpaceDE/>
        <w:autoSpaceDN/>
        <w:bidi w:val="0"/>
        <w:adjustRightInd/>
        <w:spacing w:before="0" w:beforeAutospacing="0" w:after="0" w:afterAutospacing="0" w:line="600" w:lineRule="exact"/>
        <w:ind w:left="4798" w:leftChars="304" w:right="0" w:rightChars="0" w:hanging="4160" w:hangingChars="1300"/>
        <w:jc w:val="left"/>
        <w:textAlignment w:val="auto"/>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 xml:space="preserve">八、联系电话：总    行    0635-2957222 </w:t>
      </w:r>
    </w:p>
    <w:p>
      <w:pPr>
        <w:pStyle w:val="7"/>
        <w:pageBreakBefore w:val="0"/>
        <w:numPr>
          <w:ilvl w:val="0"/>
          <w:numId w:val="0"/>
        </w:numPr>
        <w:kinsoku/>
        <w:wordWrap/>
        <w:overflowPunct/>
        <w:topLinePunct w:val="0"/>
        <w:autoSpaceDE/>
        <w:autoSpaceDN/>
        <w:bidi w:val="0"/>
        <w:adjustRightInd/>
        <w:spacing w:before="0" w:beforeAutospacing="0" w:after="0" w:afterAutospacing="0" w:line="600" w:lineRule="exact"/>
        <w:ind w:left="4788" w:leftChars="2280" w:right="0" w:rightChars="0" w:firstLine="0" w:firstLineChars="0"/>
        <w:jc w:val="left"/>
        <w:textAlignment w:val="auto"/>
        <w:rPr>
          <w:rFonts w:hint="default"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0635-2957277</w:t>
      </w:r>
    </w:p>
    <w:p>
      <w:pPr>
        <w:keepNext w:val="0"/>
        <w:keepLines w:val="0"/>
        <w:pageBreakBefore w:val="0"/>
        <w:kinsoku/>
        <w:wordWrap/>
        <w:overflowPunct/>
        <w:topLinePunct w:val="0"/>
        <w:autoSpaceDE/>
        <w:autoSpaceDN/>
        <w:bidi w:val="0"/>
        <w:snapToGrid/>
        <w:spacing w:line="60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社会责任关键绩效</w:t>
      </w: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134"/>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指标</w:t>
            </w:r>
          </w:p>
        </w:tc>
        <w:tc>
          <w:tcPr>
            <w:tcW w:w="1134"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单位</w:t>
            </w:r>
          </w:p>
        </w:tc>
        <w:tc>
          <w:tcPr>
            <w:tcW w:w="1701"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2021年</w:t>
            </w:r>
          </w:p>
        </w:tc>
        <w:tc>
          <w:tcPr>
            <w:tcW w:w="1701"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2020年</w:t>
            </w:r>
          </w:p>
        </w:tc>
        <w:tc>
          <w:tcPr>
            <w:tcW w:w="1701"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2" w:type="dxa"/>
            <w:gridSpan w:val="5"/>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bCs/>
                <w:sz w:val="28"/>
                <w:szCs w:val="28"/>
                <w:highlight w:val="none"/>
                <w:vertAlign w:val="baseline"/>
                <w:lang w:val="en-US" w:eastAsia="zh-CN"/>
              </w:rPr>
              <w:t>经济责任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资产总额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44389.54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43323.49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34909.35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存款余额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39902.02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39481.77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31165.77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25864.33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18926.92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16157.27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营业收入</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1186.26</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827.74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854.12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员工薪酬</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626.89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453.15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520.56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利息支出</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1062.65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901.06</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854.00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纳税总额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69.51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24.05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股利分配</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0.00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0.00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净利润</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316.00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111.29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-310.90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资产收益率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0.72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0.28</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净资产收益率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15.14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5.65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核心资产充足率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10.47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12.30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资本充足率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11.60 </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13.42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不良贷款率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1.07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1.62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拨备覆盖率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419.78</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336.65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218.01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涉农贷款余额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default" w:ascii="仿宋" w:hAnsi="仿宋" w:eastAsia="仿宋" w:cs="仿宋"/>
                <w:b w:val="0"/>
                <w:bCs w:val="0"/>
                <w:sz w:val="24"/>
                <w:szCs w:val="24"/>
                <w:highlight w:val="none"/>
                <w:vertAlign w:val="baseline"/>
                <w:lang w:val="en-US" w:eastAsia="zh-CN"/>
              </w:rPr>
              <w:t>25555.45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default" w:ascii="仿宋" w:hAnsi="仿宋" w:eastAsia="仿宋" w:cs="仿宋"/>
                <w:b w:val="0"/>
                <w:bCs w:val="0"/>
                <w:sz w:val="24"/>
                <w:szCs w:val="24"/>
                <w:vertAlign w:val="baseline"/>
                <w:lang w:val="en-US" w:eastAsia="zh-CN"/>
              </w:rPr>
              <w:t>17473.93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default" w:ascii="仿宋" w:hAnsi="仿宋" w:eastAsia="仿宋" w:cs="仿宋"/>
                <w:b w:val="0"/>
                <w:bCs w:val="0"/>
                <w:sz w:val="24"/>
                <w:szCs w:val="24"/>
                <w:vertAlign w:val="baseline"/>
                <w:lang w:val="en-US" w:eastAsia="zh-CN"/>
              </w:rPr>
              <w:t>14643.22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小微企业贷款余额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10.47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12.30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val="0"/>
                <w:bCs w:val="0"/>
                <w:sz w:val="24"/>
                <w:szCs w:val="24"/>
                <w:vertAlign w:val="baseline"/>
                <w:lang w:val="en-US" w:eastAsia="zh-CN"/>
              </w:rPr>
              <w:t>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2" w:type="dxa"/>
            <w:gridSpan w:val="5"/>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bCs/>
                <w:sz w:val="28"/>
                <w:szCs w:val="28"/>
                <w:highlight w:val="none"/>
                <w:vertAlign w:val="baseline"/>
                <w:lang w:val="en-US" w:eastAsia="zh-CN"/>
              </w:rPr>
              <w:t>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公益捐赠</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3400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5200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tabs>
                <w:tab w:val="left" w:pos="1890"/>
              </w:tabs>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消费者权益保护费支出</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1.00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1.00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员工总数</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女性员工占比</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60.6</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63.33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员工流失率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12.12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13.33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人均培训经费支出</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0.79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2.63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2" w:type="dxa"/>
            <w:gridSpan w:val="5"/>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bCs/>
                <w:sz w:val="28"/>
                <w:szCs w:val="28"/>
                <w:highlight w:val="none"/>
                <w:vertAlign w:val="baseline"/>
                <w:lang w:val="en-US" w:eastAsia="zh-CN"/>
              </w:rPr>
              <w:t>环境责任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节能环保项目贷款余额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人均办公耗电</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度</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9.65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9.23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人均办公耗水</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吨</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0.52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0.58</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0.57</w:t>
            </w:r>
          </w:p>
        </w:tc>
      </w:tr>
    </w:tbl>
    <w:p>
      <w:pPr>
        <w:keepNext w:val="0"/>
        <w:keepLines w:val="0"/>
        <w:pageBreakBefore w:val="0"/>
        <w:kinsoku/>
        <w:wordWrap/>
        <w:overflowPunct/>
        <w:topLinePunct w:val="0"/>
        <w:autoSpaceDE/>
        <w:autoSpaceDN/>
        <w:bidi w:val="0"/>
        <w:snapToGrid/>
        <w:spacing w:line="600" w:lineRule="exact"/>
        <w:textAlignment w:val="auto"/>
        <w:rPr>
          <w:rFonts w:hint="eastAsia" w:ascii="仿宋" w:hAnsi="仿宋" w:eastAsia="仿宋" w:cs="仿宋"/>
          <w:b/>
          <w:bCs/>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第二节 社会责任理念</w:t>
      </w: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社会责任核心理念与目标</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阳谷沪农商村镇银行致力于建立优良的社会责任观，将社会责任融入经营管理实践，建设有效的利益相关责任方参与机制，主动承担经济、社会、环境责任，促进自身利益和利益相关方的共同可持续发展。</w:t>
      </w:r>
    </w:p>
    <w:p>
      <w:pPr>
        <w:keepNext w:val="0"/>
        <w:keepLines w:val="0"/>
        <w:pageBreakBefore w:val="0"/>
        <w:numPr>
          <w:ilvl w:val="0"/>
          <w:numId w:val="0"/>
        </w:numPr>
        <w:kinsoku/>
        <w:wordWrap/>
        <w:overflowPunct/>
        <w:topLinePunct w:val="0"/>
        <w:autoSpaceDE/>
        <w:autoSpaceDN/>
        <w:bidi w:val="0"/>
        <w:snapToGrid/>
        <w:spacing w:line="600" w:lineRule="exact"/>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阳谷沪农商村镇银行充分发挥</w:t>
      </w:r>
      <w:r>
        <w:rPr>
          <w:rFonts w:hint="eastAsia" w:ascii="仿宋_GB2312" w:hAnsi="仿宋_GB2312" w:eastAsia="仿宋_GB2312" w:cs="仿宋_GB2312"/>
          <w:sz w:val="32"/>
          <w:szCs w:val="32"/>
          <w:highlight w:val="none"/>
        </w:rPr>
        <w:t>地</w:t>
      </w:r>
      <w:r>
        <w:rPr>
          <w:rFonts w:hint="eastAsia" w:ascii="仿宋_GB2312" w:hAnsi="仿宋_GB2312" w:eastAsia="仿宋_GB2312" w:cs="仿宋_GB2312"/>
          <w:b w:val="0"/>
          <w:bCs w:val="0"/>
          <w:sz w:val="32"/>
          <w:szCs w:val="32"/>
          <w:highlight w:val="none"/>
          <w:lang w:val="en-US" w:eastAsia="zh-CN"/>
        </w:rPr>
        <w:t>域优势，因地制宜、精准施策，下沉服务重心至乡镇乡村，持续输血，攻坚乡村振兴“最后一公里”；强化支农支小战略定力，将主发起行国企资源与村行地处一线两大优势相结合，把更多金融资源配置到农村重点领域和薄弱环节，与主发起行上下联动，共同践行普惠金融的使命，让乡村振兴成果惠及更多农民群众。</w:t>
      </w:r>
    </w:p>
    <w:p>
      <w:pPr>
        <w:keepNext w:val="0"/>
        <w:keepLines w:val="0"/>
        <w:pageBreakBefore w:val="0"/>
        <w:numPr>
          <w:ilvl w:val="0"/>
          <w:numId w:val="0"/>
        </w:numPr>
        <w:kinsoku/>
        <w:wordWrap/>
        <w:overflowPunct/>
        <w:topLinePunct w:val="0"/>
        <w:autoSpaceDE/>
        <w:autoSpaceDN/>
        <w:bidi w:val="0"/>
        <w:snapToGrid/>
        <w:spacing w:line="600" w:lineRule="exact"/>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阳谷沪农商村镇银行努力提升服务质量、保障金融消费者权益；关爱员工发展，积极投身公益慈善，弘扬志愿精神；实施绿色信贷，拓宽绿色金融服务渠道，履行环境友好责任，推进多方面积极影响。</w:t>
      </w:r>
    </w:p>
    <w:p>
      <w:pPr>
        <w:keepNext w:val="0"/>
        <w:keepLines w:val="0"/>
        <w:pageBreakBefore w:val="0"/>
        <w:numPr>
          <w:ilvl w:val="0"/>
          <w:numId w:val="0"/>
        </w:numPr>
        <w:kinsoku/>
        <w:wordWrap/>
        <w:overflowPunct/>
        <w:topLinePunct w:val="0"/>
        <w:autoSpaceDE/>
        <w:autoSpaceDN/>
        <w:bidi w:val="0"/>
        <w:snapToGrid/>
        <w:spacing w:line="600" w:lineRule="exact"/>
        <w:ind w:leftChars="0" w:firstLine="560" w:firstLineChars="200"/>
        <w:jc w:val="left"/>
        <w:textAlignment w:val="auto"/>
        <w:rPr>
          <w:rFonts w:hint="eastAsia" w:ascii="仿宋" w:hAnsi="仿宋" w:eastAsia="仿宋" w:cs="仿宋"/>
          <w:b w:val="0"/>
          <w:bCs w:val="0"/>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snapToGrid/>
        <w:spacing w:line="600" w:lineRule="exact"/>
        <w:ind w:leftChars="0" w:firstLine="560" w:firstLineChars="200"/>
        <w:jc w:val="left"/>
        <w:textAlignment w:val="auto"/>
        <w:rPr>
          <w:rFonts w:hint="eastAsia" w:ascii="仿宋" w:hAnsi="仿宋" w:eastAsia="仿宋" w:cs="仿宋"/>
          <w:b w:val="0"/>
          <w:bCs w:val="0"/>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社会责任领域</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阳谷沪农商村镇银行</w:t>
      </w:r>
      <w:r>
        <w:rPr>
          <w:rFonts w:hint="eastAsia" w:ascii="仿宋_GB2312" w:hAnsi="仿宋_GB2312" w:eastAsia="仿宋_GB2312" w:cs="仿宋_GB2312"/>
          <w:b w:val="0"/>
          <w:bCs w:val="0"/>
          <w:sz w:val="32"/>
          <w:szCs w:val="32"/>
          <w:highlight w:val="none"/>
        </w:rPr>
        <w:t>微小</w:t>
      </w:r>
      <w:r>
        <w:rPr>
          <w:rFonts w:hint="eastAsia" w:ascii="仿宋_GB2312" w:hAnsi="仿宋_GB2312" w:eastAsia="仿宋_GB2312" w:cs="仿宋_GB2312"/>
          <w:b w:val="0"/>
          <w:bCs w:val="0"/>
          <w:sz w:val="32"/>
          <w:szCs w:val="32"/>
          <w:highlight w:val="none"/>
          <w:lang w:val="en-US" w:eastAsia="zh-CN"/>
        </w:rPr>
        <w:t>团</w:t>
      </w:r>
      <w:r>
        <w:rPr>
          <w:rFonts w:hint="eastAsia" w:ascii="仿宋_GB2312" w:hAnsi="仿宋_GB2312" w:eastAsia="仿宋_GB2312" w:cs="仿宋_GB2312"/>
          <w:b w:val="0"/>
          <w:bCs w:val="0"/>
          <w:sz w:val="32"/>
          <w:szCs w:val="32"/>
          <w:highlight w:val="none"/>
        </w:rPr>
        <w:t>队</w:t>
      </w:r>
      <w:r>
        <w:rPr>
          <w:rFonts w:hint="eastAsia" w:ascii="仿宋_GB2312" w:hAnsi="仿宋_GB2312" w:eastAsia="仿宋_GB2312" w:cs="仿宋_GB2312"/>
          <w:b w:val="0"/>
          <w:bCs w:val="0"/>
          <w:sz w:val="32"/>
          <w:szCs w:val="32"/>
          <w:highlight w:val="none"/>
          <w:lang w:val="en-US" w:eastAsia="zh-CN"/>
        </w:rPr>
        <w:t>以</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普惠金融</w:t>
      </w:r>
      <w:r>
        <w:rPr>
          <w:rFonts w:hint="eastAsia" w:ascii="仿宋_GB2312" w:hAnsi="仿宋_GB2312" w:eastAsia="仿宋_GB2312" w:cs="仿宋_GB2312"/>
          <w:b w:val="0"/>
          <w:bCs w:val="0"/>
          <w:sz w:val="32"/>
          <w:szCs w:val="32"/>
          <w:highlight w:val="none"/>
        </w:rPr>
        <w:t>助力百姓美好生活”</w:t>
      </w:r>
      <w:r>
        <w:rPr>
          <w:rFonts w:hint="eastAsia" w:ascii="仿宋_GB2312" w:hAnsi="仿宋_GB2312" w:eastAsia="仿宋_GB2312" w:cs="仿宋_GB2312"/>
          <w:b w:val="0"/>
          <w:bCs w:val="0"/>
          <w:sz w:val="32"/>
          <w:szCs w:val="32"/>
          <w:highlight w:val="none"/>
          <w:lang w:val="en-US" w:eastAsia="zh-CN"/>
        </w:rPr>
        <w:t>为使命，</w:t>
      </w:r>
      <w:r>
        <w:rPr>
          <w:rFonts w:hint="eastAsia" w:ascii="仿宋_GB2312" w:hAnsi="仿宋_GB2312" w:eastAsia="仿宋_GB2312" w:cs="仿宋_GB2312"/>
          <w:b w:val="0"/>
          <w:bCs w:val="0"/>
          <w:sz w:val="32"/>
          <w:szCs w:val="32"/>
          <w:highlight w:val="none"/>
        </w:rPr>
        <w:t>秉承“</w:t>
      </w:r>
      <w:r>
        <w:rPr>
          <w:rFonts w:hint="eastAsia" w:ascii="仿宋_GB2312" w:hAnsi="仿宋_GB2312" w:eastAsia="仿宋_GB2312" w:cs="仿宋_GB2312"/>
          <w:b w:val="0"/>
          <w:bCs w:val="0"/>
          <w:sz w:val="32"/>
          <w:szCs w:val="32"/>
          <w:highlight w:val="none"/>
          <w:lang w:val="en-US" w:eastAsia="zh-CN"/>
        </w:rPr>
        <w:t>支农支小</w:t>
      </w:r>
      <w:r>
        <w:rPr>
          <w:rFonts w:hint="eastAsia" w:ascii="仿宋_GB2312" w:hAnsi="仿宋_GB2312" w:eastAsia="仿宋_GB2312" w:cs="仿宋_GB2312"/>
          <w:b w:val="0"/>
          <w:bCs w:val="0"/>
          <w:sz w:val="32"/>
          <w:szCs w:val="32"/>
          <w:highlight w:val="none"/>
        </w:rPr>
        <w:t>”的市场定位,弘扬奋斗者文化,</w:t>
      </w:r>
      <w:r>
        <w:rPr>
          <w:rFonts w:hint="eastAsia" w:ascii="仿宋_GB2312" w:hAnsi="仿宋_GB2312" w:eastAsia="仿宋_GB2312" w:cs="仿宋_GB2312"/>
          <w:b w:val="0"/>
          <w:bCs w:val="0"/>
          <w:sz w:val="32"/>
          <w:szCs w:val="32"/>
          <w:highlight w:val="none"/>
          <w:lang w:val="en-US" w:eastAsia="zh-CN"/>
        </w:rPr>
        <w:t>坚持以客户为中心、努力提升</w:t>
      </w:r>
      <w:r>
        <w:rPr>
          <w:rFonts w:hint="eastAsia" w:ascii="仿宋_GB2312" w:hAnsi="仿宋_GB2312" w:eastAsia="仿宋_GB2312" w:cs="仿宋_GB2312"/>
          <w:b w:val="0"/>
          <w:bCs w:val="0"/>
          <w:sz w:val="32"/>
          <w:szCs w:val="32"/>
          <w:highlight w:val="none"/>
        </w:rPr>
        <w:t>客户满意</w:t>
      </w:r>
      <w:r>
        <w:rPr>
          <w:rFonts w:hint="eastAsia" w:ascii="仿宋_GB2312" w:hAnsi="仿宋_GB2312" w:eastAsia="仿宋_GB2312" w:cs="仿宋_GB2312"/>
          <w:b w:val="0"/>
          <w:bCs w:val="0"/>
          <w:sz w:val="32"/>
          <w:szCs w:val="32"/>
          <w:highlight w:val="none"/>
          <w:lang w:val="en-US" w:eastAsia="zh-CN"/>
        </w:rPr>
        <w:t>度</w:t>
      </w:r>
      <w:r>
        <w:rPr>
          <w:rFonts w:hint="eastAsia" w:ascii="仿宋_GB2312" w:hAnsi="仿宋_GB2312" w:eastAsia="仿宋_GB2312" w:cs="仿宋_GB2312"/>
          <w:b w:val="0"/>
          <w:bCs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bCs/>
          <w:sz w:val="28"/>
          <w:szCs w:val="28"/>
          <w:highlight w:val="none"/>
          <w:lang w:val="en-US" w:eastAsia="zh-CN"/>
        </w:rPr>
      </w:pPr>
      <w:r>
        <w:rPr>
          <w:rFonts w:hint="eastAsia" w:ascii="仿宋_GB2312" w:hAnsi="仿宋_GB2312" w:eastAsia="仿宋_GB2312" w:cs="仿宋_GB2312"/>
          <w:b w:val="0"/>
          <w:bCs w:val="0"/>
          <w:sz w:val="32"/>
          <w:szCs w:val="32"/>
          <w:highlight w:val="none"/>
        </w:rPr>
        <w:t>微小团队</w:t>
      </w:r>
      <w:r>
        <w:rPr>
          <w:rFonts w:hint="eastAsia" w:ascii="仿宋_GB2312" w:hAnsi="仿宋_GB2312" w:eastAsia="仿宋_GB2312" w:cs="仿宋_GB2312"/>
          <w:b w:val="0"/>
          <w:bCs w:val="0"/>
          <w:sz w:val="32"/>
          <w:szCs w:val="32"/>
          <w:highlight w:val="none"/>
          <w:lang w:val="en-US" w:eastAsia="zh-CN"/>
        </w:rPr>
        <w:t>为</w:t>
      </w:r>
      <w:r>
        <w:rPr>
          <w:rFonts w:hint="eastAsia" w:ascii="仿宋_GB2312" w:hAnsi="仿宋_GB2312" w:eastAsia="仿宋_GB2312" w:cs="仿宋_GB2312"/>
          <w:b w:val="0"/>
          <w:bCs w:val="0"/>
          <w:sz w:val="32"/>
          <w:szCs w:val="32"/>
          <w:highlight w:val="none"/>
        </w:rPr>
        <w:t>融</w:t>
      </w:r>
      <w:r>
        <w:rPr>
          <w:rFonts w:hint="eastAsia" w:ascii="仿宋_GB2312" w:hAnsi="仿宋_GB2312" w:eastAsia="仿宋_GB2312" w:cs="仿宋_GB2312"/>
          <w:b w:val="0"/>
          <w:bCs w:val="0"/>
          <w:sz w:val="32"/>
          <w:szCs w:val="32"/>
          <w:highlight w:val="none"/>
          <w:lang w:val="en-US" w:eastAsia="zh-CN"/>
        </w:rPr>
        <w:t>入</w:t>
      </w:r>
      <w:r>
        <w:rPr>
          <w:rFonts w:hint="eastAsia" w:ascii="仿宋_GB2312" w:hAnsi="仿宋_GB2312" w:eastAsia="仿宋_GB2312" w:cs="仿宋_GB2312"/>
          <w:b w:val="0"/>
          <w:bCs w:val="0"/>
          <w:sz w:val="32"/>
          <w:szCs w:val="32"/>
          <w:highlight w:val="none"/>
        </w:rPr>
        <w:t>当地经济发展大熔炉,在县域特色产业上</w:t>
      </w:r>
      <w:r>
        <w:rPr>
          <w:rFonts w:hint="eastAsia" w:ascii="仿宋_GB2312" w:hAnsi="仿宋_GB2312" w:eastAsia="仿宋_GB2312" w:cs="仿宋_GB2312"/>
          <w:b w:val="0"/>
          <w:bCs w:val="0"/>
          <w:sz w:val="32"/>
          <w:szCs w:val="32"/>
          <w:highlight w:val="none"/>
          <w:lang w:val="en-US" w:eastAsia="zh-CN"/>
        </w:rPr>
        <w:t>做</w:t>
      </w:r>
      <w:r>
        <w:rPr>
          <w:rFonts w:hint="eastAsia" w:ascii="仿宋_GB2312" w:hAnsi="仿宋_GB2312" w:eastAsia="仿宋_GB2312" w:cs="仿宋_GB2312"/>
          <w:b w:val="0"/>
          <w:bCs w:val="0"/>
          <w:sz w:val="32"/>
          <w:szCs w:val="32"/>
          <w:highlight w:val="none"/>
        </w:rPr>
        <w:t>文章。</w:t>
      </w:r>
      <w:r>
        <w:rPr>
          <w:rFonts w:hint="eastAsia" w:ascii="仿宋_GB2312" w:hAnsi="仿宋_GB2312" w:eastAsia="仿宋_GB2312" w:cs="仿宋_GB2312"/>
          <w:b w:val="0"/>
          <w:bCs w:val="0"/>
          <w:sz w:val="32"/>
          <w:szCs w:val="32"/>
          <w:highlight w:val="none"/>
          <w:lang w:eastAsia="zh-CN"/>
        </w:rPr>
        <w:t>轴承、纺织</w:t>
      </w:r>
      <w:r>
        <w:rPr>
          <w:rFonts w:hint="eastAsia" w:ascii="仿宋_GB2312" w:hAnsi="仿宋_GB2312" w:eastAsia="仿宋_GB2312" w:cs="仿宋_GB2312"/>
          <w:b w:val="0"/>
          <w:bCs w:val="0"/>
          <w:sz w:val="32"/>
          <w:szCs w:val="32"/>
          <w:highlight w:val="none"/>
        </w:rPr>
        <w:t>是</w:t>
      </w:r>
      <w:r>
        <w:rPr>
          <w:rFonts w:hint="eastAsia" w:ascii="仿宋_GB2312" w:hAnsi="仿宋_GB2312" w:eastAsia="仿宋_GB2312" w:cs="仿宋_GB2312"/>
          <w:b w:val="0"/>
          <w:bCs w:val="0"/>
          <w:sz w:val="32"/>
          <w:szCs w:val="32"/>
          <w:highlight w:val="none"/>
          <w:lang w:val="en-US" w:eastAsia="zh-CN"/>
        </w:rPr>
        <w:t>当地特色产业</w:t>
      </w:r>
      <w:r>
        <w:rPr>
          <w:rFonts w:hint="eastAsia" w:ascii="仿宋_GB2312" w:hAnsi="仿宋_GB2312" w:eastAsia="仿宋_GB2312" w:cs="仿宋_GB2312"/>
          <w:b w:val="0"/>
          <w:bCs w:val="0"/>
          <w:sz w:val="32"/>
          <w:szCs w:val="32"/>
          <w:highlight w:val="none"/>
        </w:rPr>
        <w:t>,微小团队深</w:t>
      </w:r>
      <w:r>
        <w:rPr>
          <w:rFonts w:hint="eastAsia" w:ascii="仿宋_GB2312" w:hAnsi="仿宋_GB2312" w:eastAsia="仿宋_GB2312" w:cs="仿宋_GB2312"/>
          <w:b w:val="0"/>
          <w:bCs w:val="0"/>
          <w:sz w:val="32"/>
          <w:szCs w:val="32"/>
          <w:highlight w:val="none"/>
          <w:lang w:val="en-US" w:eastAsia="zh-CN"/>
        </w:rPr>
        <w:t>入</w:t>
      </w:r>
      <w:r>
        <w:rPr>
          <w:rFonts w:hint="eastAsia" w:ascii="仿宋_GB2312" w:hAnsi="仿宋_GB2312" w:eastAsia="仿宋_GB2312" w:cs="仿宋_GB2312"/>
          <w:b w:val="0"/>
          <w:bCs w:val="0"/>
          <w:sz w:val="32"/>
          <w:szCs w:val="32"/>
          <w:highlight w:val="none"/>
        </w:rPr>
        <w:t>调查研究,掌握</w:t>
      </w:r>
      <w:r>
        <w:rPr>
          <w:rFonts w:hint="eastAsia" w:ascii="仿宋_GB2312" w:hAnsi="仿宋_GB2312" w:eastAsia="仿宋_GB2312" w:cs="仿宋_GB2312"/>
          <w:b w:val="0"/>
          <w:bCs w:val="0"/>
          <w:sz w:val="32"/>
          <w:szCs w:val="32"/>
          <w:highlight w:val="none"/>
          <w:lang w:val="en-US" w:eastAsia="zh-CN"/>
        </w:rPr>
        <w:t>该</w:t>
      </w:r>
      <w:r>
        <w:rPr>
          <w:rFonts w:hint="eastAsia" w:ascii="仿宋_GB2312" w:hAnsi="仿宋_GB2312" w:eastAsia="仿宋_GB2312" w:cs="仿宋_GB2312"/>
          <w:b w:val="0"/>
          <w:bCs w:val="0"/>
          <w:sz w:val="32"/>
          <w:szCs w:val="32"/>
          <w:highlight w:val="none"/>
        </w:rPr>
        <w:t>产业经营资料和发放贷款的风险点,支持</w:t>
      </w:r>
      <w:r>
        <w:rPr>
          <w:rFonts w:hint="eastAsia" w:ascii="仿宋_GB2312" w:hAnsi="仿宋_GB2312" w:eastAsia="仿宋_GB2312" w:cs="仿宋_GB2312"/>
          <w:b w:val="0"/>
          <w:bCs w:val="0"/>
          <w:sz w:val="32"/>
          <w:szCs w:val="32"/>
          <w:highlight w:val="none"/>
          <w:lang w:eastAsia="zh-CN"/>
        </w:rPr>
        <w:t>轴承、纺织</w:t>
      </w:r>
      <w:r>
        <w:rPr>
          <w:rFonts w:hint="eastAsia" w:ascii="仿宋_GB2312" w:hAnsi="仿宋_GB2312" w:eastAsia="仿宋_GB2312" w:cs="仿宋_GB2312"/>
          <w:b w:val="0"/>
          <w:bCs w:val="0"/>
          <w:sz w:val="32"/>
          <w:szCs w:val="32"/>
          <w:highlight w:val="none"/>
        </w:rPr>
        <w:t>产业发展,也为</w:t>
      </w:r>
      <w:r>
        <w:rPr>
          <w:rFonts w:hint="eastAsia" w:ascii="仿宋_GB2312" w:hAnsi="仿宋_GB2312" w:eastAsia="仿宋_GB2312" w:cs="仿宋_GB2312"/>
          <w:b w:val="0"/>
          <w:bCs w:val="0"/>
          <w:sz w:val="32"/>
          <w:szCs w:val="32"/>
          <w:highlight w:val="none"/>
          <w:lang w:val="en-US" w:eastAsia="zh-CN"/>
        </w:rPr>
        <w:t>村镇银行</w:t>
      </w:r>
      <w:r>
        <w:rPr>
          <w:rFonts w:hint="eastAsia" w:ascii="仿宋_GB2312" w:hAnsi="仿宋_GB2312" w:eastAsia="仿宋_GB2312" w:cs="仿宋_GB2312"/>
          <w:b w:val="0"/>
          <w:bCs w:val="0"/>
          <w:sz w:val="32"/>
          <w:szCs w:val="32"/>
          <w:highlight w:val="none"/>
        </w:rPr>
        <w:t>业务发展找到可持续发展</w:t>
      </w:r>
      <w:r>
        <w:rPr>
          <w:rFonts w:hint="eastAsia" w:ascii="仿宋_GB2312" w:hAnsi="仿宋_GB2312" w:eastAsia="仿宋_GB2312" w:cs="仿宋_GB2312"/>
          <w:b w:val="0"/>
          <w:bCs w:val="0"/>
          <w:sz w:val="32"/>
          <w:szCs w:val="32"/>
          <w:highlight w:val="none"/>
          <w:lang w:val="en-US" w:eastAsia="zh-CN"/>
        </w:rPr>
        <w:t>发力</w:t>
      </w:r>
      <w:r>
        <w:rPr>
          <w:rFonts w:hint="eastAsia" w:ascii="仿宋_GB2312" w:hAnsi="仿宋_GB2312" w:eastAsia="仿宋_GB2312" w:cs="仿宋_GB2312"/>
          <w:b w:val="0"/>
          <w:bCs w:val="0"/>
          <w:sz w:val="32"/>
          <w:szCs w:val="32"/>
          <w:highlight w:val="none"/>
        </w:rPr>
        <w:t>点,为</w:t>
      </w:r>
      <w:r>
        <w:rPr>
          <w:rFonts w:hint="eastAsia" w:ascii="仿宋_GB2312" w:hAnsi="仿宋_GB2312" w:eastAsia="仿宋_GB2312" w:cs="仿宋_GB2312"/>
          <w:b w:val="0"/>
          <w:bCs w:val="0"/>
          <w:sz w:val="32"/>
          <w:szCs w:val="32"/>
          <w:highlight w:val="none"/>
          <w:lang w:val="en-US" w:eastAsia="zh-CN"/>
        </w:rPr>
        <w:t>带动传统特色产业、</w:t>
      </w:r>
      <w:r>
        <w:rPr>
          <w:rFonts w:hint="eastAsia" w:ascii="仿宋_GB2312" w:hAnsi="仿宋_GB2312" w:eastAsia="仿宋_GB2312" w:cs="仿宋_GB2312"/>
          <w:b w:val="0"/>
          <w:bCs w:val="0"/>
          <w:sz w:val="32"/>
          <w:szCs w:val="32"/>
          <w:highlight w:val="none"/>
        </w:rPr>
        <w:t>履行社会责任作出积极贡献。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 w:hAnsi="仿宋" w:eastAsia="仿宋" w:cs="仿宋"/>
          <w:b w:val="0"/>
          <w:bCs w:val="0"/>
          <w:sz w:val="28"/>
          <w:szCs w:val="28"/>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阳谷</w:t>
      </w:r>
      <w:r>
        <w:rPr>
          <w:rFonts w:hint="eastAsia" w:ascii="仿宋_GB2312" w:hAnsi="仿宋_GB2312" w:eastAsia="仿宋_GB2312" w:cs="仿宋_GB2312"/>
          <w:sz w:val="32"/>
          <w:szCs w:val="32"/>
          <w:highlight w:val="none"/>
          <w:lang w:val="en-US" w:eastAsia="zh-CN"/>
        </w:rPr>
        <w:t>沪农商村镇银行</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有效解决服务半径较短的问题，</w:t>
      </w:r>
      <w:r>
        <w:rPr>
          <w:rFonts w:hint="eastAsia" w:ascii="仿宋_GB2312" w:hAnsi="仿宋_GB2312" w:eastAsia="仿宋_GB2312" w:cs="仿宋_GB2312"/>
          <w:sz w:val="32"/>
          <w:szCs w:val="32"/>
          <w:highlight w:val="none"/>
          <w:lang w:eastAsia="zh-CN"/>
        </w:rPr>
        <w:t>延伸金融服务触角，</w:t>
      </w:r>
      <w:r>
        <w:rPr>
          <w:rFonts w:hint="eastAsia" w:ascii="仿宋_GB2312" w:hAnsi="仿宋_GB2312" w:eastAsia="仿宋_GB2312" w:cs="仿宋_GB2312"/>
          <w:sz w:val="32"/>
          <w:szCs w:val="32"/>
          <w:highlight w:val="none"/>
          <w:lang w:val="en-US" w:eastAsia="zh-CN"/>
        </w:rPr>
        <w:t>员工携带便捷式移动终端开展外拓业务，推广便民、惠民、利民服务，为群众做实事。经前期宣传，居民纷纷集中到社区服务点提供信贷材料、咨询金融产品问题。有的居民还通过移动设备办理了储蓄卡，切实感受到村行的热心便民服务。</w:t>
      </w:r>
    </w:p>
    <w:p>
      <w:pPr>
        <w:keepNext w:val="0"/>
        <w:keepLines w:val="0"/>
        <w:pageBreakBefore w:val="0"/>
        <w:numPr>
          <w:ilvl w:val="0"/>
          <w:numId w:val="1"/>
        </w:numPr>
        <w:kinsoku/>
        <w:wordWrap/>
        <w:overflowPunct/>
        <w:topLinePunct w:val="0"/>
        <w:autoSpaceDE/>
        <w:autoSpaceDN/>
        <w:bidi w:val="0"/>
        <w:snapToGrid/>
        <w:spacing w:line="600" w:lineRule="exact"/>
        <w:jc w:val="left"/>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社会责任管理</w:t>
      </w: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highlight w:val="none"/>
        </w:rPr>
      </w:pPr>
      <w:r>
        <w:rPr>
          <w:rFonts w:hint="eastAsia" w:ascii="仿宋" w:hAnsi="仿宋" w:eastAsia="仿宋" w:cs="仿宋"/>
          <w:b/>
          <w:bCs/>
          <w:sz w:val="28"/>
          <w:szCs w:val="28"/>
          <w:highlight w:val="none"/>
          <w:lang w:val="en-US" w:eastAsia="zh-CN"/>
        </w:rPr>
        <w:t>党建引领</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认真贯彻落实上级党委工作要求，着力构建党的领导和公司治理有机融合的制度框架，把党的领导融入公司治理各环节，将党建工作要求写入公司章程，健全公司党组织议事决策机制。同时，将“三种精神”与当前党建面临的实际问题相结合，加强党建统一领导，注重基层组织建设，强化廉洁作风。</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阳谷沪农商村镇银行通过党建引领，进一步将全行思想统一到公司可持续发展能力和支持实体经济上，树立良好的社会声誉和品牌形象。</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认真开展理论学习、电影党课、专题党课等活动，年内开展专题学习4次，理论自学8次，支部书记讲专题党课4次，深入学习领会了习近平总书记在党史学习教育动员大会上的重要讲话精神、习近平总书记在庆祝中国共产党成立100周年大会上的重要讲话精神、习近平总书记在党史学习教育总结大会上的重要讲话精神等；深入研读了习近平《论中国共产党历史》《习近平新时代中国特色社会主义思想学习问答》《中国共产党简史》等资料。</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开展了迎接“七一”党建主题系列活动，积极组织开展了“讲好党史故事 ”主题演讲活动，积极参与上海农商银行村镇银行管理部委员会组织的“迎百年庆典 讲党史故事 ”主题竞赛活动，阳谷沪农商村镇银行党</w:t>
      </w:r>
      <w:bookmarkStart w:id="0" w:name="_GoBack"/>
      <w:bookmarkEnd w:id="0"/>
      <w:r>
        <w:rPr>
          <w:rFonts w:hint="eastAsia" w:ascii="仿宋_GB2312" w:hAnsi="仿宋_GB2312" w:eastAsia="仿宋_GB2312" w:cs="仿宋_GB2312"/>
          <w:b w:val="0"/>
          <w:bCs w:val="0"/>
          <w:sz w:val="32"/>
          <w:szCs w:val="32"/>
          <w:highlight w:val="none"/>
          <w:lang w:val="en-US" w:eastAsia="zh-CN"/>
        </w:rPr>
        <w:t>支部冯思源同志荣获三等奖。</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为进一步提升党组织凝聚力，2021组织全体党员到莘县参观了红色主题陈列馆“红庙冀鲁豫边区抗日陈列馆”和“鲁西第一党支部旧址”，传承老一辈党员的革命精神，身体力行、率先垂范，以此引导全行员工坚定理想信念，增强行动自觉性，为本行发展贡献力量。</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为积极响应在全党开展“党史”学习教育的号召，激励本行干部员工传承红色基因、牢记初心使命，从党的百年伟大奋斗历程中汲取继续前进的智慧和力量。2021年6月26日，阳谷村行党支部围绕“学百年党史，走红色之路”的主题，组织全体党员赴莘县参观了红色主题陈列馆“红庙冀鲁豫边区抗日陈列馆”和鲁西第一党支部旧址。</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第一站，走进红庙村，重走革命路，聆听那段军民同舟共赴国难激情燃烧的战争岁月。</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drawing>
          <wp:anchor distT="0" distB="0" distL="114300" distR="114300" simplePos="0" relativeHeight="251660288" behindDoc="0" locked="0" layoutInCell="1" allowOverlap="1">
            <wp:simplePos x="0" y="0"/>
            <wp:positionH relativeFrom="column">
              <wp:posOffset>263525</wp:posOffset>
            </wp:positionH>
            <wp:positionV relativeFrom="page">
              <wp:posOffset>5366385</wp:posOffset>
            </wp:positionV>
            <wp:extent cx="4460875" cy="2539365"/>
            <wp:effectExtent l="0" t="0" r="15875" b="13335"/>
            <wp:wrapTopAndBottom/>
            <wp:docPr id="4" name="图片 1" descr="1baf7d44887c564ca4e513178d267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baf7d44887c564ca4e513178d2674c"/>
                    <pic:cNvPicPr>
                      <a:picLocks noChangeAspect="1"/>
                    </pic:cNvPicPr>
                  </pic:nvPicPr>
                  <pic:blipFill>
                    <a:blip r:embed="rId6"/>
                    <a:stretch>
                      <a:fillRect/>
                    </a:stretch>
                  </pic:blipFill>
                  <pic:spPr>
                    <a:xfrm>
                      <a:off x="0" y="0"/>
                      <a:ext cx="4460875" cy="2539365"/>
                    </a:xfrm>
                    <a:prstGeom prst="rect">
                      <a:avLst/>
                    </a:prstGeom>
                    <a:noFill/>
                    <a:ln>
                      <a:noFill/>
                    </a:ln>
                  </pic:spPr>
                </pic:pic>
              </a:graphicData>
            </a:graphic>
          </wp:anchor>
        </w:drawing>
      </w:r>
      <w:r>
        <w:rPr>
          <w:rFonts w:hint="eastAsia" w:ascii="仿宋_GB2312" w:hAnsi="仿宋_GB2312" w:eastAsia="仿宋_GB2312" w:cs="仿宋_GB2312"/>
          <w:b w:val="0"/>
          <w:bCs w:val="0"/>
          <w:sz w:val="32"/>
          <w:szCs w:val="32"/>
          <w:highlight w:val="none"/>
          <w:lang w:val="en-US" w:eastAsia="zh-CN"/>
        </w:rPr>
        <w:t>在这片红色土地上，曾留下不下二十位革命先辈的足迹。大家比较熟悉的便是时任华中局书记的刘少奇和时任冀鲁豫区党委书记的黄敬。除此之外，朱德、徐向前、罗荣桓、陈毅、刘伯承等革命先辈都曾战斗于此。</w:t>
      </w:r>
    </w:p>
    <w:p>
      <w:pPr>
        <w:pStyle w:val="2"/>
        <w:rPr>
          <w:rFonts w:hint="eastAsia" w:ascii="仿宋_GB2312" w:hAnsi="仿宋_GB2312" w:eastAsia="仿宋_GB2312" w:cs="仿宋_GB2312"/>
          <w:b w:val="0"/>
          <w:bCs w:val="0"/>
          <w:sz w:val="32"/>
          <w:szCs w:val="32"/>
          <w:highlight w:val="none"/>
          <w:lang w:val="en-US" w:eastAsia="zh-CN"/>
        </w:rPr>
      </w:pPr>
    </w:p>
    <w:p>
      <w:pPr>
        <w:pStyle w:val="2"/>
        <w:rPr>
          <w:rFonts w:hint="eastAsia" w:ascii="仿宋_GB2312" w:hAnsi="仿宋_GB2312" w:eastAsia="仿宋_GB2312" w:cs="仿宋_GB2312"/>
          <w:b w:val="0"/>
          <w:bCs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第二站来到了鲁西第一党支部旧址：</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鲁西第一党支部旧址陈列馆坐落在莘县古云镇徐庄村，由主雕塑、第一党支部旧址、主展馆、广场、启明山和云兴湖组成，纪念馆主展馆面积1200平方米，共展出实物200余件、图片1000余幅，在这座红色永恒的支部陈列馆中，有着太多的抗战故事和感人的英勇事迹。</w:t>
      </w:r>
    </w:p>
    <w:p>
      <w:pPr>
        <w:keepNext w:val="0"/>
        <w:keepLines w:val="0"/>
        <w:pageBreakBefore w:val="0"/>
        <w:numPr>
          <w:ilvl w:val="0"/>
          <w:numId w:val="0"/>
        </w:numPr>
        <w:kinsoku/>
        <w:wordWrap/>
        <w:overflowPunct/>
        <w:topLinePunct w:val="0"/>
        <w:autoSpaceDE/>
        <w:autoSpaceDN/>
        <w:bidi w:val="0"/>
        <w:snapToGrid/>
        <w:spacing w:line="600" w:lineRule="exact"/>
        <w:ind w:firstLine="48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Arial" w:hAnsi="Arial" w:eastAsia="宋体" w:cs="Arial"/>
          <w:i w:val="0"/>
          <w:iCs w:val="0"/>
          <w:caps w:val="0"/>
          <w:color w:val="191919"/>
          <w:spacing w:val="0"/>
          <w:sz w:val="24"/>
          <w:szCs w:val="24"/>
          <w:lang w:eastAsia="zh-CN"/>
        </w:rPr>
        <w:drawing>
          <wp:anchor distT="0" distB="0" distL="114300" distR="114300" simplePos="0" relativeHeight="251661312" behindDoc="0" locked="0" layoutInCell="1" allowOverlap="1">
            <wp:simplePos x="0" y="0"/>
            <wp:positionH relativeFrom="column">
              <wp:posOffset>453390</wp:posOffset>
            </wp:positionH>
            <wp:positionV relativeFrom="paragraph">
              <wp:posOffset>2336800</wp:posOffset>
            </wp:positionV>
            <wp:extent cx="4215765" cy="3309620"/>
            <wp:effectExtent l="0" t="0" r="13335" b="5080"/>
            <wp:wrapTopAndBottom/>
            <wp:docPr id="9" name="图片 2" descr="671e9f064156b7b1ed4c1201deea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671e9f064156b7b1ed4c1201deea275"/>
                    <pic:cNvPicPr>
                      <a:picLocks noChangeAspect="1"/>
                    </pic:cNvPicPr>
                  </pic:nvPicPr>
                  <pic:blipFill>
                    <a:blip r:embed="rId7"/>
                    <a:stretch>
                      <a:fillRect/>
                    </a:stretch>
                  </pic:blipFill>
                  <pic:spPr>
                    <a:xfrm>
                      <a:off x="0" y="0"/>
                      <a:ext cx="4215765" cy="3309620"/>
                    </a:xfrm>
                    <a:prstGeom prst="rect">
                      <a:avLst/>
                    </a:prstGeom>
                    <a:noFill/>
                    <a:ln>
                      <a:noFill/>
                    </a:ln>
                  </pic:spPr>
                </pic:pic>
              </a:graphicData>
            </a:graphic>
          </wp:anchor>
        </w:drawing>
      </w:r>
      <w:r>
        <w:rPr>
          <w:rFonts w:hint="eastAsia" w:ascii="仿宋_GB2312" w:hAnsi="仿宋_GB2312" w:eastAsia="仿宋_GB2312" w:cs="仿宋_GB2312"/>
          <w:b w:val="0"/>
          <w:bCs w:val="0"/>
          <w:sz w:val="32"/>
          <w:szCs w:val="32"/>
          <w:highlight w:val="none"/>
          <w:lang w:val="en-US" w:eastAsia="zh-CN"/>
        </w:rPr>
        <w:t>革命记忆，薪火相传。本行党支部通过本次学习党史，缅怀先烈，参观红色基地，进一步增强了党员对百年党史的回顾体会。本行党支部将会把本次党史学习教育活动融入到全年工作中去，做到系统谋划、扎实开展，以实际行动贡献村行智慧和力量，以优异成绩庆祝建党一百周年。</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p>
    <w:p>
      <w:pPr>
        <w:pStyle w:val="2"/>
        <w:rPr>
          <w:rFonts w:hint="eastAsia" w:ascii="Arial" w:hAnsi="Arial" w:eastAsia="宋体" w:cs="Arial"/>
          <w:i w:val="0"/>
          <w:iCs w:val="0"/>
          <w:caps w:val="0"/>
          <w:color w:val="191919"/>
          <w:spacing w:val="0"/>
          <w:sz w:val="24"/>
          <w:szCs w:val="24"/>
          <w:shd w:val="clear" w:color="auto" w:fill="FFFFFF"/>
          <w:lang w:eastAsia="zh-CN"/>
        </w:rPr>
      </w:pPr>
    </w:p>
    <w:p>
      <w:pPr>
        <w:pStyle w:val="2"/>
        <w:rPr>
          <w:rFonts w:hint="eastAsia" w:ascii="Arial" w:hAnsi="Arial" w:eastAsia="宋体" w:cs="Arial"/>
          <w:i w:val="0"/>
          <w:iCs w:val="0"/>
          <w:caps w:val="0"/>
          <w:color w:val="191919"/>
          <w:spacing w:val="0"/>
          <w:sz w:val="24"/>
          <w:szCs w:val="24"/>
          <w:shd w:val="clear" w:color="auto" w:fill="FFFFFF"/>
          <w:lang w:val="en-US" w:eastAsia="zh-CN"/>
        </w:rPr>
      </w:pP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公司治理</w:t>
      </w: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公司治理结构</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2021年，阳谷沪农商村镇银行共召开股东大会2次，审议或听取议案16项。股东大会的召集、召开，出席会议的人员资格，表决程序均符合法律、法规和公司章程的规定，股东大会通过的各项决议合法有效。</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本行董事会召开14次会议，审议或听取议案139项。全体董事诚信、专业、勤勉、尽责，严格按照《公司法》、公司章程和公司治理程序，切实保护股东的合法权益，关注和维护存款人和其他利益相关者的利益，有效履行受托职责。</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报告期内，本行监事会召开5次会议，审议或听取议案27项。全体监事勤勉敬业，认真履职，积极参加监事会会议，出席股东大会，列席董事会会议，独立发表意见。</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本行高级管理层在董事会的授权和监事会的监督下，积极落实国家的法律法规和《公司章程》的有关规定，工作符合股东大会和董事会的决议要求，坚持依法合规经营，稳步推进业务拓展与风险控制、探索创新与全面发展的有机结合，内控管理水平不断提升,较好完成了全年工作任务。</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以“促合规、控风险、稳发展”为目标，在守法合规管理方面主抓内控合规治理框架、完善制度流程、细化内部问责标准、狠抓重要岗位关键人员管理等工作。在反腐倡廉、治理商业贿赂方面，阳谷村行实施企业内部风险控制，加强教育、监督、惩罚的力度，向各级工作人员传达“清廉金融”精神，开展廉洁从业教育和培训。</w:t>
      </w:r>
    </w:p>
    <w:p>
      <w:pPr>
        <w:keepNext w:val="0"/>
        <w:keepLines w:val="0"/>
        <w:pageBreakBefore w:val="0"/>
        <w:numPr>
          <w:ilvl w:val="0"/>
          <w:numId w:val="0"/>
        </w:numPr>
        <w:kinsoku/>
        <w:wordWrap/>
        <w:overflowPunct/>
        <w:topLinePunct w:val="0"/>
        <w:autoSpaceDE/>
        <w:autoSpaceDN/>
        <w:bidi w:val="0"/>
        <w:snapToGrid/>
        <w:spacing w:line="600" w:lineRule="exact"/>
        <w:ind w:firstLine="0" w:firstLineChars="0"/>
        <w:jc w:val="left"/>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投资者关系管理</w:t>
      </w:r>
    </w:p>
    <w:p>
      <w:pPr>
        <w:keepNext w:val="0"/>
        <w:keepLines w:val="0"/>
        <w:pageBreakBefore w:val="0"/>
        <w:widowControl/>
        <w:numPr>
          <w:ilvl w:val="0"/>
          <w:numId w:val="0"/>
        </w:numPr>
        <w:kinsoku/>
        <w:wordWrap/>
        <w:overflowPunct/>
        <w:topLinePunct w:val="0"/>
        <w:autoSpaceDE/>
        <w:autoSpaceDN/>
        <w:bidi w:val="0"/>
        <w:snapToGrid/>
        <w:spacing w:line="600" w:lineRule="exact"/>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不断加强投资者沟通交流，维护股东合法权益。2020年，本行根据中国银保监会办公厅《关于做好&lt;商业银行股权托管办法&gt;实施相关工作的通知》（银保监办发〔2019〕156号）启动了股权托管工作，进一步提高了股权透明度，提升了股东服务水平。</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i w:val="0"/>
          <w:iCs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i w:val="0"/>
          <w:iCs w:val="0"/>
          <w:sz w:val="28"/>
          <w:szCs w:val="28"/>
          <w:highlight w:val="none"/>
          <w:lang w:val="en-US" w:eastAsia="zh-CN"/>
        </w:rPr>
      </w:pPr>
      <w:r>
        <w:rPr>
          <w:rFonts w:hint="eastAsia" w:ascii="仿宋" w:hAnsi="仿宋" w:eastAsia="仿宋" w:cs="仿宋"/>
          <w:b/>
          <w:bCs/>
          <w:i w:val="0"/>
          <w:iCs w:val="0"/>
          <w:sz w:val="28"/>
          <w:szCs w:val="28"/>
          <w:highlight w:val="none"/>
          <w:lang w:val="en-US" w:eastAsia="zh-CN"/>
        </w:rPr>
        <w:t>利益相关方沟通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118"/>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利益相关方</w:t>
            </w:r>
          </w:p>
        </w:tc>
        <w:tc>
          <w:tcPr>
            <w:tcW w:w="3118"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期望</w:t>
            </w:r>
          </w:p>
        </w:tc>
        <w:tc>
          <w:tcPr>
            <w:tcW w:w="3968"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政府</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支持实体经济建设</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落实乡村振兴工作部署</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促进企业稳健发展</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贯彻国家和地方政策</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开展乡村振兴</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明确支农支小战略定位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股东与投资者</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良好的投资回报</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全面及时的信息披露</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健全的企业内部机制建设</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全面准确地把握经济形势和当地特色，强化风险管理，创造可持续价值回报</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准确披露信息，提高透明度</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完善公司治理机制，依法合规、稳健经营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客户</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热情、便捷的金融服务</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满足不同需求的金融产品</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倾听客户的意见</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强化员工服务意识和业务能力</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创新金融产品的种类与模式</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简化业务流程，完善投诉机制</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保护消费者权益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以人为本</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关注成长</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实现自我价值</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保障员工合法权益</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完善薪酬福利体系和职业发展规划</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探索企业文化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供应商与合作伙伴</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诚实守信</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互利共赢</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公平竞争，诚信履约</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友好互利，相互尊重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社区</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支持社区建设</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搭建银村桥梁</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宣传金融知识</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优化网点布局，提升综合服务能力</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加大宣传力度，普及金融政策知识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公众与媒体</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塑造品牌形象</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热心回馈社会</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积极对接，加强宣传</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投身公益事业，打造品牌口碑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环境</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信贷投向偏好</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节能减排</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可持续发展</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限制高污染、高能耗的产品</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支持无纸化办公</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倡导节约的企业氛围</w:t>
            </w:r>
          </w:p>
        </w:tc>
      </w:tr>
    </w:tbl>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第四节 社会责任实践</w:t>
      </w: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经济责任</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长期以来，阳谷沪农商村镇银行坚持扎根农村，承担乡村振兴新使命。新时代赋予新使命，阳谷村行在解决社会难点的过程中寻找新机遇、拓展新客户，为客户创造价值，切实提升“三农”、小微、社区客户满意度，实现商业银行与社会功能的有机统一。</w:t>
      </w: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pPr>
      <w:r>
        <w:rPr>
          <w:rFonts w:hint="eastAsia" w:ascii="仿宋_GB2312" w:hAnsi="仿宋_GB2312" w:eastAsia="仿宋_GB2312" w:cs="仿宋_GB2312"/>
          <w:b/>
          <w:bCs/>
          <w:sz w:val="32"/>
          <w:szCs w:val="32"/>
          <w:highlight w:val="none"/>
          <w:lang w:val="en-US" w:eastAsia="zh-CN"/>
        </w:rPr>
        <w:t>服务三农：</w:t>
      </w:r>
      <w:r>
        <w:rPr>
          <w:rFonts w:hint="eastAsia" w:ascii="仿宋_GB2312" w:hAnsi="仿宋_GB2312" w:eastAsia="仿宋_GB2312" w:cs="仿宋_GB2312"/>
          <w:b w:val="0"/>
          <w:bCs w:val="0"/>
          <w:sz w:val="32"/>
          <w:szCs w:val="32"/>
          <w:highlight w:val="none"/>
          <w:lang w:val="en-US" w:eastAsia="zh-CN"/>
        </w:rPr>
        <w:t>加快金融产品创新，及时解决资金需求。自成立以来，本行累计发放贷款11.19亿元，累计发放涉农贷款9.57亿元，在支持“小微、三农”经济发展等方面发挥了日益显著的作用。全行2021年底涉农贷款余额25555.45万元、服务企业类客户15户，个人客户1427户。一是完善微贷制度体系，2021年推出“兴、企、福、民”四款符合当地特色的信贷产品，合理配置信贷资源，稳步扩大信贷投放规模，提高投放效率，确保贷款客户需求得到及时有效的满足。截至2021年末四款产品累计投放0.67亿元。二是力推线上“惠E贷”产品，保障服务不断、质量不降。通过在线扫码授信，随借随用。截至2021年末，“惠E贷”授信总额777.71万元，较年初新增285.32万元。</w:t>
      </w: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bCs/>
          <w:sz w:val="28"/>
          <w:szCs w:val="28"/>
          <w:highlight w:val="none"/>
          <w:lang w:val="en-US" w:eastAsia="zh-CN"/>
        </w:rPr>
      </w:pPr>
      <w:r>
        <w:rPr>
          <w:rFonts w:hint="eastAsia" w:ascii="仿宋_GB2312" w:hAnsi="仿宋_GB2312" w:eastAsia="仿宋_GB2312" w:cs="仿宋_GB2312"/>
          <w:b/>
          <w:bCs/>
          <w:sz w:val="32"/>
          <w:szCs w:val="32"/>
          <w:highlight w:val="none"/>
          <w:lang w:val="en-US" w:eastAsia="zh-CN"/>
        </w:rPr>
        <w:t>服务小微：</w:t>
      </w:r>
      <w:r>
        <w:rPr>
          <w:rFonts w:hint="eastAsia" w:ascii="仿宋_GB2312" w:hAnsi="仿宋_GB2312" w:eastAsia="仿宋_GB2312" w:cs="仿宋_GB2312"/>
          <w:b w:val="0"/>
          <w:bCs w:val="0"/>
          <w:sz w:val="32"/>
          <w:szCs w:val="32"/>
          <w:highlight w:val="none"/>
          <w:lang w:val="en-US" w:eastAsia="zh-CN"/>
        </w:rPr>
        <w:t>坚守定位不动摇，支持“小微、三农”发展。本行始终贯彻“坚守市场定位，强化普惠金融、深耕小微三农”的市场定位，以高质量发展为目标，加强小微企业经营类融资需求的支持力度，有效解决农村地区金融机构覆盖率低、金融供给不足、金融服务缺位等问题。截至2021年末，小微企业贷款余额 16478.72万元，较年初增加7890.62万元，增幅达91.88%；小微企业客户数805户，户均贷款18.74元。</w:t>
      </w:r>
    </w:p>
    <w:tbl>
      <w:tblPr>
        <w:tblStyle w:val="9"/>
        <w:tblpPr w:leftFromText="180" w:rightFromText="180" w:vertAnchor="text" w:horzAnchor="page" w:tblpX="1876" w:tblpY="191"/>
        <w:tblOverlap w:val="never"/>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13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指标名称</w:t>
            </w:r>
          </w:p>
        </w:tc>
        <w:tc>
          <w:tcPr>
            <w:tcW w:w="1134"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w:t>
            </w:r>
          </w:p>
        </w:tc>
        <w:tc>
          <w:tcPr>
            <w:tcW w:w="1704"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2021年</w:t>
            </w:r>
          </w:p>
        </w:tc>
        <w:tc>
          <w:tcPr>
            <w:tcW w:w="170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2020年</w:t>
            </w:r>
          </w:p>
        </w:tc>
        <w:tc>
          <w:tcPr>
            <w:tcW w:w="170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小微企业贷款余额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16478.72</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8588.10</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7937.07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小微企业贷款占比</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0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60.98</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42.90</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小微企业贷款客户数量</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户</w:t>
            </w:r>
          </w:p>
        </w:tc>
        <w:tc>
          <w:tcPr>
            <w:tcW w:w="170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805</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258</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174</w:t>
            </w:r>
          </w:p>
        </w:tc>
      </w:tr>
    </w:tbl>
    <w:p>
      <w:pPr>
        <w:keepNext w:val="0"/>
        <w:keepLines w:val="0"/>
        <w:pageBreakBefore w:val="0"/>
        <w:numPr>
          <w:ilvl w:val="0"/>
          <w:numId w:val="0"/>
        </w:numPr>
        <w:kinsoku/>
        <w:wordWrap/>
        <w:overflowPunct/>
        <w:topLinePunct w:val="0"/>
        <w:autoSpaceDE/>
        <w:autoSpaceDN/>
        <w:bidi w:val="0"/>
        <w:snapToGrid/>
        <w:spacing w:line="600" w:lineRule="exact"/>
        <w:jc w:val="both"/>
        <w:textAlignment w:val="auto"/>
        <w:rPr>
          <w:rFonts w:hint="eastAsia" w:ascii="仿宋" w:hAnsi="仿宋" w:eastAsia="仿宋" w:cs="仿宋"/>
          <w:b w:val="0"/>
          <w:bCs w:val="0"/>
          <w:sz w:val="28"/>
          <w:szCs w:val="28"/>
          <w:highlight w:val="none"/>
          <w:lang w:val="en-US" w:eastAsia="zh-CN"/>
        </w:rPr>
      </w:pPr>
      <w:r>
        <w:rPr>
          <w:rFonts w:hint="eastAsia" w:ascii="仿宋_GB2312" w:hAnsi="仿宋_GB2312" w:eastAsia="仿宋_GB2312" w:cs="仿宋_GB2312"/>
          <w:b/>
          <w:bCs/>
          <w:sz w:val="32"/>
          <w:szCs w:val="32"/>
          <w:highlight w:val="none"/>
          <w:lang w:val="en-US" w:eastAsia="zh-CN"/>
        </w:rPr>
        <w:t>优质服务：</w:t>
      </w:r>
      <w:r>
        <w:rPr>
          <w:rFonts w:hint="eastAsia" w:ascii="仿宋_GB2312" w:hAnsi="仿宋_GB2312" w:eastAsia="仿宋_GB2312" w:cs="仿宋_GB2312"/>
          <w:b w:val="0"/>
          <w:bCs w:val="0"/>
          <w:sz w:val="32"/>
          <w:szCs w:val="32"/>
          <w:highlight w:val="none"/>
          <w:lang w:val="en-US" w:eastAsia="zh-CN"/>
        </w:rPr>
        <w:t>阳谷村行优化服务方式，推进普惠金融降价、提质，优化信贷流程，在风险可控的前提下，发挥阳谷村行“短、平、快”的审批优势，让客户更快的获得信贷支持，同时调整产品额度，将微小贷款投放作为贯穿信贷业务的主线，全力支持乡村振兴。</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_GB2312" w:hAnsi="仿宋_GB2312" w:eastAsia="仿宋_GB2312" w:cs="仿宋_GB2312"/>
          <w:kern w:val="2"/>
          <w:sz w:val="32"/>
          <w:szCs w:val="32"/>
          <w:highlight w:val="none"/>
          <w:lang w:val="en-US" w:eastAsia="zh-CN" w:bidi="ar-SA"/>
        </w:rPr>
        <w:t>阳谷沪农商村镇银行号召行内员工以向农户和小微企业进行宣传，尤其是受疫情影响、急需贷款资金周转的个体或商户。对于符合准入条件的对象，阳谷村行第一时间介入调研，快速审查审批，通过及时授信帮助客户渡过难关。其次，阳谷村行客户经理分区划片，在各乡镇开展网格化营销，主动对接农户及小微企业，加大授信。截至2021年底，阳谷村行农户及小微企业贷款较年初增加7780.53万元，小微企业贷款较年初增加7890.62万元，小微企业贷款户数较年初增加547户。</w:t>
      </w: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社会责任</w:t>
      </w:r>
    </w:p>
    <w:p>
      <w:pPr>
        <w:keepNext w:val="0"/>
        <w:keepLines w:val="0"/>
        <w:pageBreakBefore w:val="0"/>
        <w:numPr>
          <w:ilvl w:val="0"/>
          <w:numId w:val="0"/>
        </w:numPr>
        <w:kinsoku/>
        <w:wordWrap/>
        <w:overflowPunct/>
        <w:topLinePunct w:val="0"/>
        <w:autoSpaceDE/>
        <w:autoSpaceDN/>
        <w:bidi w:val="0"/>
        <w:snapToGrid/>
        <w:spacing w:line="600" w:lineRule="exact"/>
        <w:ind w:leftChars="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员工责任</w:t>
      </w:r>
    </w:p>
    <w:tbl>
      <w:tblPr>
        <w:tblStyle w:val="9"/>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134"/>
        <w:gridCol w:w="1701"/>
        <w:gridCol w:w="3"/>
        <w:gridCol w:w="1698"/>
        <w:gridCol w:w="7"/>
        <w:gridCol w:w="169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指标名称</w:t>
            </w:r>
          </w:p>
        </w:tc>
        <w:tc>
          <w:tcPr>
            <w:tcW w:w="1134"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单位</w:t>
            </w:r>
          </w:p>
        </w:tc>
        <w:tc>
          <w:tcPr>
            <w:tcW w:w="1704" w:type="dxa"/>
            <w:gridSpan w:val="2"/>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2021年</w:t>
            </w:r>
          </w:p>
        </w:tc>
        <w:tc>
          <w:tcPr>
            <w:tcW w:w="1705" w:type="dxa"/>
            <w:gridSpan w:val="2"/>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2020年</w:t>
            </w:r>
          </w:p>
        </w:tc>
        <w:tc>
          <w:tcPr>
            <w:tcW w:w="1705" w:type="dxa"/>
            <w:gridSpan w:val="2"/>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员工总数</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w:t>
            </w:r>
          </w:p>
        </w:tc>
        <w:tc>
          <w:tcPr>
            <w:tcW w:w="1701"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i w:val="0"/>
                <w:color w:val="000000"/>
                <w:kern w:val="0"/>
                <w:sz w:val="24"/>
                <w:szCs w:val="24"/>
                <w:highlight w:val="none"/>
                <w:u w:val="none"/>
                <w:lang w:val="en-US" w:eastAsia="zh-CN" w:bidi="ar"/>
              </w:rPr>
              <w:t>33</w:t>
            </w:r>
          </w:p>
        </w:tc>
        <w:tc>
          <w:tcPr>
            <w:tcW w:w="1701" w:type="dxa"/>
            <w:gridSpan w:val="2"/>
            <w:vAlign w:val="center"/>
          </w:tcPr>
          <w:p>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i w:val="0"/>
                <w:color w:val="000000"/>
                <w:kern w:val="0"/>
                <w:sz w:val="24"/>
                <w:szCs w:val="24"/>
                <w:highlight w:val="none"/>
                <w:u w:val="none"/>
                <w:lang w:val="en-US" w:eastAsia="zh-CN" w:bidi="ar"/>
              </w:rPr>
              <w:t>30</w:t>
            </w:r>
          </w:p>
        </w:tc>
        <w:tc>
          <w:tcPr>
            <w:tcW w:w="1701" w:type="dxa"/>
            <w:gridSpan w:val="2"/>
            <w:vAlign w:val="center"/>
          </w:tcPr>
          <w:p>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i w:val="0"/>
                <w:color w:val="000000"/>
                <w:kern w:val="0"/>
                <w:sz w:val="24"/>
                <w:szCs w:val="24"/>
                <w:highlight w:val="none"/>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女性员工占比</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i w:val="0"/>
                <w:color w:val="000000"/>
                <w:kern w:val="0"/>
                <w:sz w:val="24"/>
                <w:szCs w:val="24"/>
                <w:highlight w:val="none"/>
                <w:u w:val="none"/>
                <w:lang w:val="en-US" w:eastAsia="zh-CN" w:bidi="ar"/>
              </w:rPr>
              <w:t>60.6</w:t>
            </w:r>
          </w:p>
        </w:tc>
        <w:tc>
          <w:tcPr>
            <w:tcW w:w="1701" w:type="dxa"/>
            <w:gridSpan w:val="2"/>
            <w:vAlign w:val="center"/>
          </w:tcPr>
          <w:p>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i w:val="0"/>
                <w:color w:val="000000"/>
                <w:kern w:val="0"/>
                <w:sz w:val="24"/>
                <w:szCs w:val="24"/>
                <w:highlight w:val="none"/>
                <w:u w:val="none"/>
                <w:lang w:val="en-US" w:eastAsia="zh-CN" w:bidi="ar"/>
              </w:rPr>
              <w:t>63.33</w:t>
            </w:r>
          </w:p>
        </w:tc>
        <w:tc>
          <w:tcPr>
            <w:tcW w:w="1701" w:type="dxa"/>
            <w:gridSpan w:val="2"/>
            <w:vAlign w:val="center"/>
          </w:tcPr>
          <w:p>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i w:val="0"/>
                <w:color w:val="000000"/>
                <w:kern w:val="0"/>
                <w:sz w:val="24"/>
                <w:szCs w:val="24"/>
                <w:highlight w:val="none"/>
                <w:u w:val="none"/>
                <w:lang w:val="en-US" w:eastAsia="zh-CN" w:bidi="ar"/>
              </w:rPr>
              <w:t>64.29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员工流失率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i w:val="0"/>
                <w:color w:val="000000"/>
                <w:kern w:val="0"/>
                <w:sz w:val="24"/>
                <w:szCs w:val="24"/>
                <w:highlight w:val="none"/>
                <w:u w:val="none"/>
                <w:lang w:val="en-US" w:eastAsia="zh-CN" w:bidi="ar"/>
              </w:rPr>
              <w:t>12.12</w:t>
            </w:r>
          </w:p>
        </w:tc>
        <w:tc>
          <w:tcPr>
            <w:tcW w:w="1701" w:type="dxa"/>
            <w:gridSpan w:val="2"/>
            <w:vAlign w:val="center"/>
          </w:tcPr>
          <w:p>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i w:val="0"/>
                <w:color w:val="000000"/>
                <w:kern w:val="0"/>
                <w:sz w:val="24"/>
                <w:szCs w:val="24"/>
                <w:highlight w:val="none"/>
                <w:u w:val="none"/>
                <w:lang w:val="en-US" w:eastAsia="zh-CN" w:bidi="ar"/>
              </w:rPr>
              <w:t>13.33</w:t>
            </w:r>
          </w:p>
        </w:tc>
        <w:tc>
          <w:tcPr>
            <w:tcW w:w="1701" w:type="dxa"/>
            <w:gridSpan w:val="2"/>
            <w:vAlign w:val="center"/>
          </w:tcPr>
          <w:p>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i w:val="0"/>
                <w:color w:val="000000"/>
                <w:kern w:val="0"/>
                <w:sz w:val="24"/>
                <w:szCs w:val="24"/>
                <w:highlight w:val="none"/>
                <w:u w:val="none"/>
                <w:lang w:val="en-US" w:eastAsia="zh-CN" w:bidi="ar"/>
              </w:rPr>
              <w:t>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培训项目数</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场</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1701" w:type="dxa"/>
            <w:gridSpan w:val="2"/>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w:t>
            </w:r>
          </w:p>
        </w:tc>
        <w:tc>
          <w:tcPr>
            <w:tcW w:w="1701" w:type="dxa"/>
            <w:gridSpan w:val="2"/>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培训人次</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人次</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60</w:t>
            </w:r>
          </w:p>
        </w:tc>
        <w:tc>
          <w:tcPr>
            <w:tcW w:w="1701" w:type="dxa"/>
            <w:gridSpan w:val="2"/>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130</w:t>
            </w:r>
          </w:p>
        </w:tc>
        <w:tc>
          <w:tcPr>
            <w:tcW w:w="1701" w:type="dxa"/>
            <w:gridSpan w:val="2"/>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人均培训经费支出</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i w:val="0"/>
                <w:color w:val="000000"/>
                <w:kern w:val="0"/>
                <w:sz w:val="24"/>
                <w:szCs w:val="24"/>
                <w:highlight w:val="none"/>
                <w:u w:val="none"/>
                <w:lang w:val="en-US" w:eastAsia="zh-CN" w:bidi="ar"/>
              </w:rPr>
              <w:t>0.79</w:t>
            </w:r>
          </w:p>
        </w:tc>
        <w:tc>
          <w:tcPr>
            <w:tcW w:w="1701" w:type="dxa"/>
            <w:gridSpan w:val="2"/>
            <w:vAlign w:val="center"/>
          </w:tcPr>
          <w:p>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i w:val="0"/>
                <w:color w:val="000000"/>
                <w:kern w:val="0"/>
                <w:sz w:val="24"/>
                <w:szCs w:val="24"/>
                <w:highlight w:val="none"/>
                <w:u w:val="none"/>
                <w:lang w:val="en-US" w:eastAsia="zh-CN" w:bidi="ar"/>
              </w:rPr>
              <w:t>2.63</w:t>
            </w:r>
          </w:p>
        </w:tc>
        <w:tc>
          <w:tcPr>
            <w:tcW w:w="1701" w:type="dxa"/>
            <w:gridSpan w:val="2"/>
            <w:vAlign w:val="center"/>
          </w:tcPr>
          <w:p>
            <w:pPr>
              <w:keepNext w:val="0"/>
              <w:keepLines w:val="0"/>
              <w:widowControl/>
              <w:suppressLineNumbers w:val="0"/>
              <w:jc w:val="center"/>
              <w:textAlignment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i w:val="0"/>
                <w:color w:val="000000"/>
                <w:kern w:val="0"/>
                <w:sz w:val="24"/>
                <w:szCs w:val="24"/>
                <w:highlight w:val="none"/>
                <w:u w:val="none"/>
                <w:lang w:val="en-US" w:eastAsia="zh-CN" w:bidi="ar"/>
              </w:rPr>
              <w:t>1.3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本行具备一套完整的管理体系，建立了完善的考核体系。按时足额发放劳动报酬，本行每年按当地最高比例、足额为员工缴纳五险一金，保障员工的合法权益，并为职工提供安全健康的工作环境，加强劳动保护，积极预防职业病。建立职工的职业教育和岗位培训制度，不断提高职工的素质和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践行“以人为本”的发展理念，本行每年积极组织开展员工健康体检活动，主发起行牵头缴纳的额外医疗保险，解除了员工的后顾之忧，此项福利也优于本地其他单位，每两年量制工装。同时，主发起行总工会开展的“夏送清凉 冬送温暖”活动，本行工会每年中秋节、春节发放劳保用品，员工生日送上的生日卡，都大大的提升了员工的幸福感，增强了村行的凝聚力，让广大员工切实感受到阳谷村行大家庭的温暖，进一步提高员工的向心力和归属感。</w:t>
      </w:r>
    </w:p>
    <w:p>
      <w:pPr>
        <w:keepNext w:val="0"/>
        <w:keepLines w:val="0"/>
        <w:pageBreakBefore w:val="0"/>
        <w:numPr>
          <w:ilvl w:val="0"/>
          <w:numId w:val="0"/>
        </w:numPr>
        <w:kinsoku/>
        <w:wordWrap/>
        <w:overflowPunct/>
        <w:topLinePunct w:val="0"/>
        <w:autoSpaceDE/>
        <w:autoSpaceDN/>
        <w:bidi w:val="0"/>
        <w:snapToGrid/>
        <w:spacing w:line="600" w:lineRule="exact"/>
        <w:ind w:leftChars="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金融教育责任</w:t>
      </w:r>
    </w:p>
    <w:p>
      <w:pPr>
        <w:keepNext w:val="0"/>
        <w:keepLines w:val="0"/>
        <w:pageBreakBefore w:val="0"/>
        <w:numPr>
          <w:ilvl w:val="0"/>
          <w:numId w:val="0"/>
        </w:numPr>
        <w:kinsoku/>
        <w:wordWrap/>
        <w:overflowPunct/>
        <w:topLinePunct w:val="0"/>
        <w:autoSpaceDE/>
        <w:autoSpaceDN/>
        <w:bidi w:val="0"/>
        <w:snapToGrid/>
        <w:spacing w:line="600" w:lineRule="exact"/>
        <w:ind w:leftChars="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大力开展公众金融教育宣传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2021年公众金融教育累计投入7.59万元，服务消费者3000人次。</w:t>
      </w:r>
    </w:p>
    <w:p>
      <w:pPr>
        <w:keepNext w:val="0"/>
        <w:keepLines w:val="0"/>
        <w:pageBreakBefore w:val="0"/>
        <w:numPr>
          <w:ilvl w:val="0"/>
          <w:numId w:val="2"/>
        </w:numPr>
        <w:kinsoku/>
        <w:wordWrap/>
        <w:overflowPunct/>
        <w:topLinePunct w:val="0"/>
        <w:autoSpaceDE/>
        <w:autoSpaceDN/>
        <w:bidi w:val="0"/>
        <w:snapToGrid/>
        <w:spacing w:line="600" w:lineRule="exact"/>
        <w:ind w:firstLine="562" w:firstLineChars="200"/>
        <w:jc w:val="left"/>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宣传形式和渠道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依托物理网点为阵地开展教育宣传，利用走电子多媒体显示屏、自助机具等媒体设备播放宣传内容；设立公众教育区，张贴宣传海报，发放宣传资料，安排工作人员提供现场咨询讲解等；举办专题教育讲座或培训；金融知识教育宣传材料应与银行产品营销材料显著区分，突出教育宣传的公益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（二）依托、整合相关社会资源共同开展或本行依靠自身力量开展的教育宣传工作，深入社区、学校、园区、企业等，通过设立宣传教育点、举办专题讲座等形式有针对性地开展教育宣传活动；</w:t>
      </w:r>
    </w:p>
    <w:p>
      <w:pPr>
        <w:pStyle w:val="2"/>
        <w:rPr>
          <w:rFonts w:hint="eastAsia"/>
          <w:lang w:val="en-US"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3037840</wp:posOffset>
            </wp:positionH>
            <wp:positionV relativeFrom="paragraph">
              <wp:posOffset>8890</wp:posOffset>
            </wp:positionV>
            <wp:extent cx="2676525" cy="2355215"/>
            <wp:effectExtent l="0" t="0" r="9525" b="6985"/>
            <wp:wrapTopAndBottom/>
            <wp:docPr id="26" name="图片 26" descr="8549b3426438e67e7ae5e8bc5c79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8549b3426438e67e7ae5e8bc5c7921a"/>
                    <pic:cNvPicPr>
                      <a:picLocks noChangeAspect="1"/>
                    </pic:cNvPicPr>
                  </pic:nvPicPr>
                  <pic:blipFill>
                    <a:blip r:embed="rId8"/>
                    <a:stretch>
                      <a:fillRect/>
                    </a:stretch>
                  </pic:blipFill>
                  <pic:spPr>
                    <a:xfrm>
                      <a:off x="0" y="0"/>
                      <a:ext cx="2676525" cy="2355215"/>
                    </a:xfrm>
                    <a:prstGeom prst="rect">
                      <a:avLst/>
                    </a:prstGeom>
                  </pic:spPr>
                </pic:pic>
              </a:graphicData>
            </a:graphic>
          </wp:anchor>
        </w:drawing>
      </w:r>
      <w:r>
        <w:rPr>
          <w:rFonts w:hint="eastAsia"/>
          <w:lang w:val="en-US" w:eastAsia="zh-CN"/>
        </w:rPr>
        <w:drawing>
          <wp:anchor distT="0" distB="0" distL="114300" distR="114300" simplePos="0" relativeHeight="251665408" behindDoc="0" locked="0" layoutInCell="1" allowOverlap="1">
            <wp:simplePos x="0" y="0"/>
            <wp:positionH relativeFrom="column">
              <wp:posOffset>0</wp:posOffset>
            </wp:positionH>
            <wp:positionV relativeFrom="paragraph">
              <wp:posOffset>26670</wp:posOffset>
            </wp:positionV>
            <wp:extent cx="2948940" cy="2323465"/>
            <wp:effectExtent l="0" t="0" r="3810" b="635"/>
            <wp:wrapTopAndBottom/>
            <wp:docPr id="24" name="图片 24" descr="ed8c5f7f8157b6a7f9436a0e277f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d8c5f7f8157b6a7f9436a0e277fb64"/>
                    <pic:cNvPicPr>
                      <a:picLocks noChangeAspect="1"/>
                    </pic:cNvPicPr>
                  </pic:nvPicPr>
                  <pic:blipFill>
                    <a:blip r:embed="rId9"/>
                    <a:stretch>
                      <a:fillRect/>
                    </a:stretch>
                  </pic:blipFill>
                  <pic:spPr>
                    <a:xfrm>
                      <a:off x="0" y="0"/>
                      <a:ext cx="2948940" cy="232346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（三）借助各类在线电子渠道开展宣传，通过手机银行、微信银行、短信银行、官方微博、微信公众号等渠道推送金融知识，扩大受众范围；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（四）将产品推介会、宣讲会、联谊活动、业务研讨会等营销活动作为开展教育宣传活动的重要平台，但避免以产品营销推介替代教育宣传活动。</w:t>
      </w:r>
    </w:p>
    <w:p>
      <w:pPr>
        <w:pStyle w:val="5"/>
        <w:rPr>
          <w:rFonts w:hint="eastAsia"/>
          <w:highlight w:val="none"/>
          <w:lang w:eastAsia="zh-CN"/>
        </w:rPr>
      </w:pPr>
    </w:p>
    <w:p>
      <w:pPr>
        <w:keepNext w:val="0"/>
        <w:keepLines w:val="0"/>
        <w:pageBreakBefore w:val="0"/>
        <w:widowControl/>
        <w:numPr>
          <w:ilvl w:val="0"/>
          <w:numId w:val="0"/>
        </w:numPr>
        <w:kinsoku/>
        <w:wordWrap/>
        <w:overflowPunct/>
        <w:topLinePunct w:val="0"/>
        <w:autoSpaceDE/>
        <w:autoSpaceDN/>
        <w:bidi w:val="0"/>
        <w:snapToGrid/>
        <w:spacing w:line="600" w:lineRule="exact"/>
        <w:ind w:firstLine="562" w:firstLineChars="200"/>
        <w:jc w:val="left"/>
        <w:textAlignment w:val="auto"/>
        <w:rPr>
          <w:rFonts w:hint="eastAsia" w:ascii="仿宋" w:hAnsi="仿宋" w:eastAsia="仿宋" w:cs="仿宋"/>
          <w:b/>
          <w:bCs/>
          <w:kern w:val="2"/>
          <w:sz w:val="28"/>
          <w:szCs w:val="28"/>
          <w:highlight w:val="none"/>
          <w:lang w:val="en-US" w:eastAsia="zh-CN"/>
        </w:rPr>
      </w:pPr>
      <w:r>
        <w:rPr>
          <w:rFonts w:hint="eastAsia" w:ascii="仿宋" w:hAnsi="仿宋" w:eastAsia="仿宋" w:cs="仿宋"/>
          <w:b/>
          <w:bCs/>
          <w:kern w:val="2"/>
          <w:sz w:val="28"/>
          <w:szCs w:val="28"/>
          <w:highlight w:val="none"/>
          <w:lang w:val="en-US" w:eastAsia="zh-CN"/>
        </w:rPr>
        <w:t>二、宣传内容</w:t>
      </w:r>
    </w:p>
    <w:p>
      <w:pPr>
        <w:keepNext w:val="0"/>
        <w:keepLines w:val="0"/>
        <w:pageBreakBefore w:val="0"/>
        <w:widowControl/>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（一）国家金融政策及法律法规; </w:t>
      </w:r>
    </w:p>
    <w:p>
      <w:pPr>
        <w:keepNext w:val="0"/>
        <w:keepLines w:val="0"/>
        <w:pageBreakBefore w:val="0"/>
        <w:widowControl/>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（二）消费者权益保护法律法规，金融纠纷调解的渠道、方法和流程; </w:t>
      </w:r>
    </w:p>
    <w:p>
      <w:pPr>
        <w:keepNext w:val="0"/>
        <w:keepLines w:val="0"/>
        <w:pageBreakBefore w:val="0"/>
        <w:widowControl/>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（三）基础金融知识; </w:t>
      </w:r>
    </w:p>
    <w:p>
      <w:pPr>
        <w:keepNext w:val="0"/>
        <w:keepLines w:val="0"/>
        <w:pageBreakBefore w:val="0"/>
        <w:widowControl/>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（四）介绍常见或新型金融及电信诈骗、非法集资手段、特点及危害,提高社会公众风险防范意识;</w:t>
      </w:r>
    </w:p>
    <w:p>
      <w:pPr>
        <w:keepNext w:val="0"/>
        <w:keepLines w:val="0"/>
        <w:pageBreakBefore w:val="0"/>
        <w:widowControl/>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（五）银行卡、电子银行等支付安全与使用注意事项; </w:t>
      </w:r>
    </w:p>
    <w:p>
      <w:pPr>
        <w:keepNext w:val="0"/>
        <w:keepLines w:val="0"/>
        <w:pageBreakBefore w:val="0"/>
        <w:widowControl/>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（六）反假币;</w:t>
      </w:r>
    </w:p>
    <w:p>
      <w:pPr>
        <w:keepNext w:val="0"/>
        <w:keepLines w:val="0"/>
        <w:pageBreakBefore w:val="0"/>
        <w:widowControl/>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（七）反洗钱;</w:t>
      </w:r>
    </w:p>
    <w:p>
      <w:pPr>
        <w:keepNext w:val="0"/>
        <w:keepLines w:val="0"/>
        <w:pageBreakBefore w:val="0"/>
        <w:widowControl/>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（八）个人征信及个人信息保护宣传;</w:t>
      </w:r>
    </w:p>
    <w:p>
      <w:pPr>
        <w:keepNext w:val="0"/>
        <w:keepLines w:val="0"/>
        <w:pageBreakBefore w:val="0"/>
        <w:widowControl/>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（九）其他金融知识教育宣传相关内容。</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积极履行社会防范责任，营造安全稳定的金融秩序，密切警银协作机制，切实保护客户资金，保障消费者金融安全。阳谷村行于2021年组织全行开展“防范非法集资”集中宣传月活动，依托营业厅、电子显示屏等场所和渠道，全面发动厅堂一线团队开展防电信诈骗专题宣传。具体措施包括：印发“防范非法集资”主题宣传手册，统一摆放在营业网点显要位置，并组织客户关注“中国银保监会”微信公众号；悬挂警示标语、张贴防范提示等方式，对每一笔转账业务做到“四问一告知”，尤其是财务人员、老年客户等电信诈骗针对的重点人员开展防范电信知识宣传。</w:t>
      </w:r>
    </w:p>
    <w:p>
      <w:pPr>
        <w:keepNext w:val="0"/>
        <w:keepLines w:val="0"/>
        <w:pageBreakBefore w:val="0"/>
        <w:widowControl/>
        <w:numPr>
          <w:ilvl w:val="0"/>
          <w:numId w:val="0"/>
        </w:numPr>
        <w:kinsoku/>
        <w:wordWrap/>
        <w:overflowPunct/>
        <w:topLinePunct w:val="0"/>
        <w:autoSpaceDE/>
        <w:autoSpaceDN/>
        <w:bidi w:val="0"/>
        <w:snapToGrid/>
        <w:spacing w:line="240" w:lineRule="auto"/>
        <w:ind w:leftChars="0" w:firstLine="420" w:firstLineChars="200"/>
        <w:jc w:val="left"/>
        <w:textAlignment w:val="auto"/>
        <w:rPr>
          <w:rFonts w:hint="eastAsia" w:ascii="仿宋" w:hAnsi="仿宋" w:eastAsia="仿宋" w:cs="仿宋"/>
          <w:b/>
          <w:bCs/>
          <w:color w:val="auto"/>
          <w:sz w:val="28"/>
          <w:szCs w:val="28"/>
          <w:highlight w:val="none"/>
          <w:lang w:val="en-US" w:eastAsia="zh-CN"/>
        </w:rPr>
      </w:pPr>
      <w:r>
        <w:rPr>
          <w:rFonts w:hint="eastAsia"/>
          <w:lang w:val="en-US" w:eastAsia="zh-CN"/>
        </w:rPr>
        <w:drawing>
          <wp:anchor distT="0" distB="0" distL="114300" distR="114300" simplePos="0" relativeHeight="251663360" behindDoc="0" locked="0" layoutInCell="1" allowOverlap="1">
            <wp:simplePos x="0" y="0"/>
            <wp:positionH relativeFrom="column">
              <wp:posOffset>2995295</wp:posOffset>
            </wp:positionH>
            <wp:positionV relativeFrom="paragraph">
              <wp:posOffset>2674620</wp:posOffset>
            </wp:positionV>
            <wp:extent cx="2459355" cy="3280410"/>
            <wp:effectExtent l="0" t="0" r="17145" b="15240"/>
            <wp:wrapTopAndBottom/>
            <wp:docPr id="18" name="图片 18" descr="金融知识宣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金融知识宣传1"/>
                    <pic:cNvPicPr>
                      <a:picLocks noChangeAspect="1"/>
                    </pic:cNvPicPr>
                  </pic:nvPicPr>
                  <pic:blipFill>
                    <a:blip r:embed="rId10"/>
                    <a:stretch>
                      <a:fillRect/>
                    </a:stretch>
                  </pic:blipFill>
                  <pic:spPr>
                    <a:xfrm>
                      <a:off x="0" y="0"/>
                      <a:ext cx="2459355" cy="3280410"/>
                    </a:xfrm>
                    <a:prstGeom prst="rect">
                      <a:avLst/>
                    </a:prstGeom>
                  </pic:spPr>
                </pic:pic>
              </a:graphicData>
            </a:graphic>
          </wp:anchor>
        </w:drawing>
      </w:r>
      <w:r>
        <w:rPr>
          <w:rFonts w:hint="eastAsia"/>
          <w:lang w:val="en-US" w:eastAsia="zh-CN"/>
        </w:rPr>
        <w:drawing>
          <wp:anchor distT="0" distB="0" distL="114300" distR="114300" simplePos="0" relativeHeight="251662336" behindDoc="0" locked="0" layoutInCell="1" allowOverlap="1">
            <wp:simplePos x="0" y="0"/>
            <wp:positionH relativeFrom="column">
              <wp:posOffset>284480</wp:posOffset>
            </wp:positionH>
            <wp:positionV relativeFrom="paragraph">
              <wp:posOffset>2708910</wp:posOffset>
            </wp:positionV>
            <wp:extent cx="2409825" cy="3213100"/>
            <wp:effectExtent l="0" t="0" r="9525" b="6350"/>
            <wp:wrapTopAndBottom/>
            <wp:docPr id="15" name="图片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
                    <pic:cNvPicPr>
                      <a:picLocks noChangeAspect="1"/>
                    </pic:cNvPicPr>
                  </pic:nvPicPr>
                  <pic:blipFill>
                    <a:blip r:embed="rId11"/>
                    <a:stretch>
                      <a:fillRect/>
                    </a:stretch>
                  </pic:blipFill>
                  <pic:spPr>
                    <a:xfrm>
                      <a:off x="0" y="0"/>
                      <a:ext cx="2409825" cy="3213100"/>
                    </a:xfrm>
                    <a:prstGeom prst="rect">
                      <a:avLst/>
                    </a:prstGeom>
                  </pic:spPr>
                </pic:pic>
              </a:graphicData>
            </a:graphic>
          </wp:anchor>
        </w:drawing>
      </w:r>
      <w:r>
        <w:rPr>
          <w:rFonts w:hint="eastAsia" w:ascii="仿宋" w:hAnsi="仿宋" w:eastAsia="仿宋" w:cs="仿宋"/>
          <w:b/>
          <w:bCs/>
          <w:color w:val="auto"/>
          <w:sz w:val="28"/>
          <w:szCs w:val="28"/>
          <w:highlight w:val="none"/>
          <w:lang w:val="en-US" w:eastAsia="zh-CN"/>
        </w:rPr>
        <w:drawing>
          <wp:anchor distT="0" distB="0" distL="114300" distR="114300" simplePos="0" relativeHeight="251664384" behindDoc="0" locked="0" layoutInCell="1" allowOverlap="1">
            <wp:simplePos x="0" y="0"/>
            <wp:positionH relativeFrom="column">
              <wp:posOffset>704850</wp:posOffset>
            </wp:positionH>
            <wp:positionV relativeFrom="paragraph">
              <wp:posOffset>76835</wp:posOffset>
            </wp:positionV>
            <wp:extent cx="4004945" cy="2253615"/>
            <wp:effectExtent l="0" t="0" r="14605" b="13335"/>
            <wp:wrapTopAndBottom/>
            <wp:docPr id="13" name="图片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
                    <pic:cNvPicPr>
                      <a:picLocks noChangeAspect="1"/>
                    </pic:cNvPicPr>
                  </pic:nvPicPr>
                  <pic:blipFill>
                    <a:blip r:embed="rId12"/>
                    <a:stretch>
                      <a:fillRect/>
                    </a:stretch>
                  </pic:blipFill>
                  <pic:spPr>
                    <a:xfrm>
                      <a:off x="0" y="0"/>
                      <a:ext cx="4004945" cy="2253615"/>
                    </a:xfrm>
                    <a:prstGeom prst="rect">
                      <a:avLst/>
                    </a:prstGeom>
                  </pic:spPr>
                </pic:pic>
              </a:graphicData>
            </a:graphic>
          </wp:anchor>
        </w:drawing>
      </w: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snapToGrid/>
        <w:spacing w:line="600" w:lineRule="exact"/>
        <w:ind w:leftChars="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全力维护消费者权益保护</w:t>
      </w:r>
    </w:p>
    <w:p>
      <w:pPr>
        <w:pStyle w:val="5"/>
        <w:numPr>
          <w:ilvl w:val="0"/>
          <w:numId w:val="0"/>
        </w:numPr>
        <w:ind w:leftChars="0"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一、本行完善消费者投诉处理机制和流程的情况</w:t>
      </w:r>
    </w:p>
    <w:p>
      <w:p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本行制定了《阳谷沪农商村镇银行消费者权益保护工作审计暂行规定》，通过建立适当的程序和措施，推动实现消费者在与本行发生业务往来的各个阶段能够得到公平、公正和诚信的对待。该规定明确了审计内容、审计标准、审计频率及方法、审计程序、审计人员责任和权利，审计内容包括消费者权益保护工作体制机制建设、消费者权益保护工作开展情况等方面，涵盖内容较为全面具体。</w:t>
      </w:r>
    </w:p>
    <w:p>
      <w:pPr>
        <w:ind w:firstLine="6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（二）《阳谷沪农商村镇银行消费者权益保护工作审计暂行规定》消费者权益保护工作开展情况审计内容主要包括产品与服务管理。</w:t>
      </w:r>
    </w:p>
    <w:p>
      <w:pPr>
        <w:ind w:firstLine="6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（三）本行在收到消费者投诉后，均在规定时间内妥善处理，综合管理部作为消保部门均进行了督办，相关部门也均已落实，但未形成消保审查意见的督办单、督办提醒等。</w:t>
      </w:r>
    </w:p>
    <w:p>
      <w:pPr>
        <w:ind w:firstLine="6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（四）《阳谷沪农商银行消费者权益保护管理办法》明确了消费者权益保护的全流程管理，通过建立健全预防、救济和评估改进三个工作阶段的制度体系，对消费者保护工作进行全流程管理。</w:t>
      </w:r>
    </w:p>
    <w:p>
      <w:pPr>
        <w:ind w:firstLine="6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（五）《阳谷沪农商银行消费者权益保护管理办法》明确了消费者权益保护工作中各部门和支行职责， 消保委办公室设在综合管理部牵头本行消费者权益保护工作，市场部、营业部和各支行各司其职又相互配合。</w:t>
      </w:r>
    </w:p>
    <w:p>
      <w:pPr>
        <w:pStyle w:val="5"/>
        <w:numPr>
          <w:ilvl w:val="0"/>
          <w:numId w:val="0"/>
        </w:numPr>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二、2021年内本行无客户重大投诉事件信息。</w:t>
      </w:r>
    </w:p>
    <w:p>
      <w:pPr>
        <w:pStyle w:val="5"/>
        <w:numPr>
          <w:ilvl w:val="0"/>
          <w:numId w:val="0"/>
        </w:num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三、内部消保培训</w:t>
      </w:r>
    </w:p>
    <w:p>
      <w:pPr>
        <w:ind w:firstLine="600"/>
        <w:jc w:val="both"/>
        <w:rPr>
          <w:rFonts w:hint="eastAsia" w:ascii="仿宋" w:hAnsi="仿宋" w:eastAsia="仿宋" w:cs="仿宋"/>
          <w:b/>
          <w:bCs/>
          <w:sz w:val="28"/>
          <w:szCs w:val="28"/>
          <w:highlight w:val="none"/>
          <w:lang w:val="en-US" w:eastAsia="zh-CN"/>
        </w:rPr>
      </w:pPr>
      <w:r>
        <w:rPr>
          <w:rFonts w:hint="eastAsia" w:ascii="仿宋_GB2312" w:hAnsi="仿宋_GB2312" w:eastAsia="仿宋_GB2312" w:cs="仿宋_GB2312"/>
          <w:sz w:val="32"/>
          <w:szCs w:val="32"/>
          <w:highlight w:val="none"/>
          <w:lang w:val="en-US" w:eastAsia="zh-CN"/>
        </w:rPr>
        <w:t>2021年本行开展消费者权益保护专题培训，学习了《中华人民共和国消费者权益保护法》，参训对象为本行全体员工，每季度对临柜人员及大堂经理进行消费者权益保护工作培训，通过培训提高了业务岗位人员服务意识和责任意识。</w:t>
      </w:r>
    </w:p>
    <w:p>
      <w:pPr>
        <w:keepNext w:val="0"/>
        <w:keepLines w:val="0"/>
        <w:pageBreakBefore w:val="0"/>
        <w:numPr>
          <w:ilvl w:val="-1"/>
          <w:numId w:val="0"/>
        </w:numPr>
        <w:kinsoku/>
        <w:wordWrap/>
        <w:overflowPunct/>
        <w:topLinePunct w:val="0"/>
        <w:autoSpaceDE/>
        <w:autoSpaceDN/>
        <w:bidi w:val="0"/>
        <w:snapToGrid/>
        <w:spacing w:line="600" w:lineRule="exact"/>
        <w:ind w:left="0" w:leftChars="0" w:firstLine="0" w:firstLineChars="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爱心公益责任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阳谷沪农商村镇银行始终热心社会公益。从依托主发起行到村行自发，从周边社区到偏远村居，从基础设施到文化教育，阳谷村行致力于开展志愿者服务、慈善捐赠、对口帮扶等公益活动，为社会公众谋求切身利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进一步弘扬中华民族互助互爱、无私奉献的传统美德，推进社会主义建设，践行社会责任，阳谷村行按照《2021年全市“慈心一日捐”活动实施方案》要求，组织全行员工开展“慈心一日捐”爱心募捐活动，阳谷村行党员干部坚持“走在前，做表率”，带头捐款，全行员工踊跃参与，纷纷献出爱心，此次活动累计筹集捐款金额3400元，阳谷村行将全部募集善款划至阳谷县慈善总会。</w:t>
      </w:r>
    </w:p>
    <w:p>
      <w:pPr>
        <w:pStyle w:val="5"/>
        <w:rPr>
          <w:rFonts w:hint="eastAsia" w:ascii="仿宋" w:hAnsi="仿宋" w:eastAsia="仿宋" w:cs="仿宋"/>
          <w:b w:val="0"/>
          <w:bCs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600" w:lineRule="exact"/>
        <w:ind w:leftChars="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环境责任</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贯彻执行国家宏观政策调控，合理配置资源，发挥金融银行业对社会资源的引导作用，助力绿色产品、创新绿色金融。同时，阳谷村行积极传导环境友好理念，履行低碳经济的社会责任：推广网上银行、手机银行、微信银行等业务，降低纸质凭证使用；倡导员工参与环保活动，宣传环保理念。</w:t>
      </w:r>
    </w:p>
    <w:p>
      <w:pPr>
        <w:keepNext w:val="0"/>
        <w:keepLines w:val="0"/>
        <w:pageBreakBefore w:val="0"/>
        <w:numPr>
          <w:ilvl w:val="0"/>
          <w:numId w:val="0"/>
        </w:numPr>
        <w:kinsoku/>
        <w:wordWrap/>
        <w:overflowPunct/>
        <w:topLinePunct w:val="0"/>
        <w:autoSpaceDE/>
        <w:autoSpaceDN/>
        <w:bidi w:val="0"/>
        <w:snapToGrid/>
        <w:spacing w:line="600" w:lineRule="exact"/>
        <w:ind w:firstLine="560" w:firstLineChars="200"/>
        <w:jc w:val="left"/>
        <w:textAlignment w:val="auto"/>
        <w:outlineLvl w:val="9"/>
        <w:rPr>
          <w:rFonts w:hint="eastAsia" w:ascii="仿宋" w:hAnsi="仿宋" w:eastAsia="仿宋" w:cs="仿宋"/>
          <w:sz w:val="28"/>
          <w:szCs w:val="28"/>
          <w:highlight w:val="none"/>
        </w:rPr>
      </w:pPr>
    </w:p>
    <w:p>
      <w:pPr>
        <w:keepNext w:val="0"/>
        <w:keepLines w:val="0"/>
        <w:pageBreakBefore w:val="0"/>
        <w:numPr>
          <w:ilvl w:val="0"/>
          <w:numId w:val="0"/>
        </w:numPr>
        <w:kinsoku/>
        <w:wordWrap/>
        <w:overflowPunct/>
        <w:topLinePunct w:val="0"/>
        <w:autoSpaceDE/>
        <w:autoSpaceDN/>
        <w:bidi w:val="0"/>
        <w:snapToGrid/>
        <w:spacing w:line="600" w:lineRule="exact"/>
        <w:ind w:firstLine="560" w:firstLineChars="200"/>
        <w:jc w:val="left"/>
        <w:textAlignment w:val="auto"/>
        <w:outlineLvl w:val="9"/>
        <w:rPr>
          <w:rFonts w:hint="eastAsia" w:ascii="仿宋" w:hAnsi="仿宋" w:eastAsia="仿宋" w:cs="仿宋"/>
          <w:b w:val="0"/>
          <w:bCs w:val="0"/>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第五节 责任展望</w:t>
      </w:r>
    </w:p>
    <w:p>
      <w:pPr>
        <w:spacing w:line="576"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lang w:eastAsia="zh-CN"/>
          <w14:textFill>
            <w14:solidFill>
              <w14:schemeClr w14:val="tx1"/>
            </w14:solidFill>
          </w14:textFill>
        </w:rPr>
        <w:t>阳谷村行</w:t>
      </w:r>
      <w:r>
        <w:rPr>
          <w:rFonts w:hint="eastAsia" w:ascii="仿宋_GB2312" w:eastAsia="仿宋_GB2312" w:hAnsiTheme="minorEastAsia"/>
          <w:color w:val="000000" w:themeColor="text1"/>
          <w:sz w:val="32"/>
          <w:szCs w:val="32"/>
          <w14:textFill>
            <w14:solidFill>
              <w14:schemeClr w14:val="tx1"/>
            </w14:solidFill>
          </w14:textFill>
        </w:rPr>
        <w:t>以打造一家服务高效、资产优良、管理规范、特色鲜明的村镇银行为愿景，坚持以创新的服务理念和良好的职业操守，更好的服务于实体、服务于城乡</w:t>
      </w:r>
      <w:r>
        <w:rPr>
          <w:rFonts w:hint="eastAsia" w:ascii="仿宋_GB2312" w:eastAsia="仿宋_GB2312" w:hAnsiTheme="minorEastAsia"/>
          <w:color w:val="000000" w:themeColor="text1"/>
          <w:sz w:val="32"/>
          <w:szCs w:val="32"/>
          <w:lang w:eastAsia="zh-CN"/>
          <w14:textFill>
            <w14:solidFill>
              <w14:schemeClr w14:val="tx1"/>
            </w14:solidFill>
          </w14:textFill>
        </w:rPr>
        <w:t>，</w:t>
      </w:r>
      <w:r>
        <w:rPr>
          <w:rFonts w:ascii="仿宋_GB2312" w:hAnsi="仿宋_GB2312" w:eastAsia="仿宋_GB2312" w:cs="Times New Roman"/>
          <w:kern w:val="2"/>
          <w:sz w:val="32"/>
          <w:szCs w:val="20"/>
        </w:rPr>
        <w:t>全面推动各项业务稳健快速发展，大力提升综合竞争能力。</w:t>
      </w:r>
      <w:r>
        <w:rPr>
          <w:rFonts w:hint="eastAsia" w:ascii="仿宋_GB2312" w:hAnsi="仿宋_GB2312" w:eastAsia="仿宋_GB2312" w:cs="Times New Roman"/>
          <w:kern w:val="2"/>
          <w:sz w:val="32"/>
          <w:szCs w:val="20"/>
        </w:rPr>
        <w:t>20</w:t>
      </w:r>
      <w:r>
        <w:rPr>
          <w:rFonts w:hint="eastAsia" w:ascii="仿宋_GB2312" w:hAnsi="仿宋_GB2312" w:eastAsia="仿宋_GB2312" w:cs="Times New Roman"/>
          <w:kern w:val="2"/>
          <w:sz w:val="32"/>
          <w:szCs w:val="20"/>
          <w:lang w:val="en-US" w:eastAsia="zh-CN"/>
        </w:rPr>
        <w:t>22</w:t>
      </w:r>
      <w:r>
        <w:rPr>
          <w:rFonts w:hint="eastAsia" w:ascii="仿宋_GB2312" w:hAnsi="仿宋_GB2312" w:eastAsia="仿宋_GB2312" w:cs="Times New Roman"/>
          <w:kern w:val="2"/>
          <w:sz w:val="32"/>
          <w:szCs w:val="20"/>
        </w:rPr>
        <w:t>年我行将以市场为导向，以客户为中心，以规模为基础，以质量为效益，在主抓传统业务的基础上，不断推进产品创新和综合营销</w:t>
      </w:r>
      <w:r>
        <w:rPr>
          <w:rFonts w:hint="eastAsia" w:ascii="仿宋_GB2312" w:hAnsi="仿宋_GB2312" w:eastAsia="仿宋_GB2312" w:cs="Times New Roman"/>
          <w:kern w:val="2"/>
          <w:sz w:val="32"/>
          <w:szCs w:val="20"/>
          <w:lang w:eastAsia="zh-CN"/>
        </w:rPr>
        <w:t>，</w:t>
      </w:r>
      <w:r>
        <w:rPr>
          <w:rFonts w:hint="eastAsia" w:ascii="仿宋_GB2312" w:eastAsia="仿宋_GB2312" w:hAnsiTheme="minorEastAsia"/>
          <w:color w:val="000000" w:themeColor="text1"/>
          <w:sz w:val="32"/>
          <w:szCs w:val="32"/>
          <w14:textFill>
            <w14:solidFill>
              <w14:schemeClr w14:val="tx1"/>
            </w14:solidFill>
          </w14:textFill>
        </w:rPr>
        <w:t>实现</w:t>
      </w:r>
      <w:r>
        <w:rPr>
          <w:rFonts w:hint="eastAsia" w:ascii="仿宋_GB2312" w:eastAsia="仿宋_GB2312" w:hAnsiTheme="minorEastAsia"/>
          <w:color w:val="000000" w:themeColor="text1"/>
          <w:sz w:val="32"/>
          <w:szCs w:val="32"/>
          <w:lang w:eastAsia="zh-CN"/>
          <w14:textFill>
            <w14:solidFill>
              <w14:schemeClr w14:val="tx1"/>
            </w14:solidFill>
          </w14:textFill>
        </w:rPr>
        <w:t>阳谷</w:t>
      </w:r>
      <w:r>
        <w:rPr>
          <w:rFonts w:hint="eastAsia" w:ascii="仿宋_GB2312" w:eastAsia="仿宋_GB2312" w:hAnsiTheme="minorEastAsia"/>
          <w:color w:val="000000" w:themeColor="text1"/>
          <w:sz w:val="32"/>
          <w:szCs w:val="32"/>
          <w14:textFill>
            <w14:solidFill>
              <w14:schemeClr w14:val="tx1"/>
            </w14:solidFill>
          </w14:textFill>
        </w:rPr>
        <w:t>村行价值的升华。</w:t>
      </w: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rPr>
        <w:t>读者反馈</w:t>
      </w:r>
    </w:p>
    <w:p>
      <w:pPr>
        <w:keepNext w:val="0"/>
        <w:keepLines w:val="0"/>
        <w:pageBreakBefore w:val="0"/>
        <w:kinsoku/>
        <w:wordWrap/>
        <w:overflowPunct/>
        <w:topLinePunct w:val="0"/>
        <w:autoSpaceDE/>
        <w:autoSpaceDN/>
        <w:bidi w:val="0"/>
        <w:snapToGrid/>
        <w:spacing w:line="600" w:lineRule="exact"/>
        <w:ind w:firstLine="480" w:firstLineChars="200"/>
        <w:textAlignment w:val="auto"/>
        <w:rPr>
          <w:rFonts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感谢您阅读《</w:t>
      </w:r>
      <w:r>
        <w:rPr>
          <w:rFonts w:hint="eastAsia" w:ascii="仿宋_GB2312" w:hAnsi="仿宋_GB2312" w:eastAsia="仿宋_GB2312" w:cs="仿宋_GB2312"/>
          <w:sz w:val="32"/>
          <w:szCs w:val="32"/>
          <w:highlight w:val="none"/>
          <w:lang w:eastAsia="zh-CN"/>
        </w:rPr>
        <w:t>阳谷</w:t>
      </w:r>
      <w:r>
        <w:rPr>
          <w:rFonts w:hint="eastAsia" w:ascii="仿宋_GB2312" w:hAnsi="仿宋_GB2312" w:eastAsia="仿宋_GB2312" w:cs="仿宋_GB2312"/>
          <w:sz w:val="32"/>
          <w:szCs w:val="32"/>
          <w:highlight w:val="none"/>
          <w:lang w:val="en-US" w:eastAsia="zh-CN"/>
        </w:rPr>
        <w:t>沪</w:t>
      </w:r>
      <w:r>
        <w:rPr>
          <w:rFonts w:hint="eastAsia" w:ascii="仿宋_GB2312" w:hAnsi="仿宋_GB2312" w:eastAsia="仿宋_GB2312" w:cs="仿宋_GB2312"/>
          <w:sz w:val="32"/>
          <w:szCs w:val="32"/>
          <w:highlight w:val="none"/>
        </w:rPr>
        <w:t>农商</w:t>
      </w:r>
      <w:r>
        <w:rPr>
          <w:rFonts w:hint="eastAsia" w:ascii="仿宋_GB2312" w:hAnsi="仿宋_GB2312" w:eastAsia="仿宋_GB2312" w:cs="仿宋_GB2312"/>
          <w:sz w:val="32"/>
          <w:szCs w:val="32"/>
          <w:highlight w:val="none"/>
          <w:lang w:val="en-US" w:eastAsia="zh-CN"/>
        </w:rPr>
        <w:t>村镇</w:t>
      </w:r>
      <w:r>
        <w:rPr>
          <w:rFonts w:hint="eastAsia" w:ascii="仿宋_GB2312" w:hAnsi="仿宋_GB2312" w:eastAsia="仿宋_GB2312" w:cs="仿宋_GB2312"/>
          <w:sz w:val="32"/>
          <w:szCs w:val="32"/>
          <w:highlight w:val="none"/>
        </w:rPr>
        <w:t>银行20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年社会责任报告》。为更好地向您及其他利益相关方提供有价值的信息，促进本行提高履行社会责任的能力和水平，我行诚挚邀请您对本报告提出宝贵意见和建议，并通过以下方式反馈给我们。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0635-2957222</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邮箱</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yghns2012@163.com</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rPr>
        <w:t>地址：</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山东省</w:t>
      </w:r>
      <w:r>
        <w:rPr>
          <w:rFonts w:hint="eastAsia" w:ascii="仿宋_GB2312" w:hAnsi="仿宋_GB2312" w:eastAsia="仿宋_GB2312" w:cs="仿宋_GB2312"/>
          <w:color w:val="auto"/>
          <w:sz w:val="32"/>
          <w:szCs w:val="32"/>
          <w:highlight w:val="none"/>
          <w:lang w:val="en-US" w:eastAsia="zh-CN"/>
        </w:rPr>
        <w:t>阳谷县谷山路65号</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邮编：</w:t>
      </w:r>
      <w:r>
        <w:rPr>
          <w:rFonts w:hint="eastAsia" w:ascii="仿宋_GB2312" w:hAnsi="仿宋_GB2312" w:eastAsia="仿宋_GB2312" w:cs="仿宋_GB2312"/>
          <w:sz w:val="32"/>
          <w:szCs w:val="32"/>
          <w:highlight w:val="none"/>
          <w:lang w:val="en-US" w:eastAsia="zh-CN"/>
        </w:rPr>
        <w:t>252300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刘行</w:t>
      </w:r>
    </w:p>
    <w:p>
      <w:pPr>
        <w:pStyle w:val="2"/>
        <w:rPr>
          <w:rFonts w:hint="eastAsia" w:ascii="仿宋_GB2312" w:hAnsi="仿宋_GB2312" w:eastAsia="仿宋_GB2312" w:cs="仿宋_GB2312"/>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您属于哪类利益相关方？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股东与投资者</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客户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员工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政府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监管机构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供应商与合作伙伴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社区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公众与媒体</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其他</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您对本行企业社会责任报告的总体评价：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□好□较好□一般□较不好□不好</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您对本行履行经济、社会、环境责任的评价：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经济责任：□好□较好□一般□较不好□不好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社会责任：□好□较好□一般□较不好□不好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环境责任：□好□较好□一般□较不好□不好</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您认为本报告能否反映本行的社会责任实践对经济、社会、环境的影响？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□能很好反映□能较好反映□能一般反映□不太能反映□不能反映</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您认为本报告披露的信息、数据、指标的清晰度、准确度和完整性如何？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清晰度：□好□较好□一般□较不好□不好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准确度：□好□较好□一般□较不好□不好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完整性：□好□较好□一般□较不好□不好</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您认为本报告的内容安排和版式设计是否方便阅读？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□是□一般□否</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highlight w:val="none"/>
        </w:rPr>
        <w:t>您对本行企业社会责任工作和本报告的其他意见和建议。</w:t>
      </w:r>
    </w:p>
    <w:p>
      <w:pPr>
        <w:keepNext w:val="0"/>
        <w:keepLines w:val="0"/>
        <w:pageBreakBefore w:val="0"/>
        <w:widowControl/>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snapToGrid/>
        <w:spacing w:line="600" w:lineRule="exact"/>
        <w:textAlignment w:val="auto"/>
        <w:rPr>
          <w:rFonts w:hint="eastAsia" w:ascii="仿宋" w:hAnsi="仿宋" w:eastAsia="仿宋" w:cs="仿宋"/>
          <w:b/>
          <w:bCs/>
          <w:sz w:val="28"/>
          <w:szCs w:val="28"/>
          <w:highlight w:val="none"/>
          <w:lang w:val="en-US" w:eastAsia="zh-C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89734"/>
    <w:multiLevelType w:val="singleLevel"/>
    <w:tmpl w:val="C5789734"/>
    <w:lvl w:ilvl="0" w:tentative="0">
      <w:start w:val="1"/>
      <w:numFmt w:val="chineseCounting"/>
      <w:suff w:val="nothing"/>
      <w:lvlText w:val="%1、"/>
      <w:lvlJc w:val="left"/>
      <w:rPr>
        <w:rFonts w:hint="eastAsia"/>
      </w:rPr>
    </w:lvl>
  </w:abstractNum>
  <w:abstractNum w:abstractNumId="1">
    <w:nsid w:val="1273463E"/>
    <w:multiLevelType w:val="singleLevel"/>
    <w:tmpl w:val="1273463E"/>
    <w:lvl w:ilvl="0" w:tentative="0">
      <w:start w:val="1"/>
      <w:numFmt w:val="decimal"/>
      <w:lvlText w:val="%1."/>
      <w:lvlJc w:val="left"/>
      <w:pPr>
        <w:ind w:left="425" w:hanging="425"/>
      </w:pPr>
      <w:rPr>
        <w:rFonts w:hint="default"/>
      </w:rPr>
    </w:lvl>
  </w:abstractNum>
  <w:abstractNum w:abstractNumId="2">
    <w:nsid w:val="151217AE"/>
    <w:multiLevelType w:val="singleLevel"/>
    <w:tmpl w:val="151217AE"/>
    <w:lvl w:ilvl="0" w:tentative="0">
      <w:start w:val="3"/>
      <w:numFmt w:val="chineseCounting"/>
      <w:suff w:val="space"/>
      <w:lvlText w:val="第%1节"/>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F27F4"/>
    <w:rsid w:val="002941CA"/>
    <w:rsid w:val="004D799A"/>
    <w:rsid w:val="00674C68"/>
    <w:rsid w:val="007557C7"/>
    <w:rsid w:val="008F3AD3"/>
    <w:rsid w:val="009E61AD"/>
    <w:rsid w:val="00A1286B"/>
    <w:rsid w:val="00A3663E"/>
    <w:rsid w:val="00BC2389"/>
    <w:rsid w:val="00C62C15"/>
    <w:rsid w:val="00E648E4"/>
    <w:rsid w:val="00FA5774"/>
    <w:rsid w:val="00FE12A4"/>
    <w:rsid w:val="010033D3"/>
    <w:rsid w:val="010F1729"/>
    <w:rsid w:val="011F12CB"/>
    <w:rsid w:val="012B5D2B"/>
    <w:rsid w:val="014B51B8"/>
    <w:rsid w:val="01754B40"/>
    <w:rsid w:val="01874A9F"/>
    <w:rsid w:val="01BB0475"/>
    <w:rsid w:val="01CB11B4"/>
    <w:rsid w:val="01E4122A"/>
    <w:rsid w:val="01EF7AFC"/>
    <w:rsid w:val="02073157"/>
    <w:rsid w:val="020A4654"/>
    <w:rsid w:val="02141DFE"/>
    <w:rsid w:val="022300B9"/>
    <w:rsid w:val="02390D0C"/>
    <w:rsid w:val="024276B1"/>
    <w:rsid w:val="025A0B58"/>
    <w:rsid w:val="025E1814"/>
    <w:rsid w:val="02673017"/>
    <w:rsid w:val="026B6024"/>
    <w:rsid w:val="0277451B"/>
    <w:rsid w:val="02A33F86"/>
    <w:rsid w:val="02C55A13"/>
    <w:rsid w:val="02DE5114"/>
    <w:rsid w:val="030B3002"/>
    <w:rsid w:val="03560778"/>
    <w:rsid w:val="03810809"/>
    <w:rsid w:val="03A204D8"/>
    <w:rsid w:val="03BB5B55"/>
    <w:rsid w:val="03C94054"/>
    <w:rsid w:val="03DD3268"/>
    <w:rsid w:val="042013D5"/>
    <w:rsid w:val="046F437E"/>
    <w:rsid w:val="0492331A"/>
    <w:rsid w:val="049B36FA"/>
    <w:rsid w:val="04B72262"/>
    <w:rsid w:val="04BE315A"/>
    <w:rsid w:val="04C07ADE"/>
    <w:rsid w:val="04CB3943"/>
    <w:rsid w:val="04CC6AB3"/>
    <w:rsid w:val="04D90134"/>
    <w:rsid w:val="04DB6172"/>
    <w:rsid w:val="050A103D"/>
    <w:rsid w:val="050D2A0E"/>
    <w:rsid w:val="05102F4A"/>
    <w:rsid w:val="052F46C9"/>
    <w:rsid w:val="054B5A21"/>
    <w:rsid w:val="05584675"/>
    <w:rsid w:val="05687055"/>
    <w:rsid w:val="05804659"/>
    <w:rsid w:val="05AE0611"/>
    <w:rsid w:val="05B40C70"/>
    <w:rsid w:val="05DA5145"/>
    <w:rsid w:val="05DE5C46"/>
    <w:rsid w:val="05EA02DA"/>
    <w:rsid w:val="061A3802"/>
    <w:rsid w:val="06247495"/>
    <w:rsid w:val="067C3176"/>
    <w:rsid w:val="06A70CB8"/>
    <w:rsid w:val="06AD61FB"/>
    <w:rsid w:val="06D4736C"/>
    <w:rsid w:val="06E253B3"/>
    <w:rsid w:val="06F1343B"/>
    <w:rsid w:val="072A28CB"/>
    <w:rsid w:val="079A17BF"/>
    <w:rsid w:val="07A8551B"/>
    <w:rsid w:val="07B3281A"/>
    <w:rsid w:val="07C40A93"/>
    <w:rsid w:val="0801102F"/>
    <w:rsid w:val="08083BE7"/>
    <w:rsid w:val="0831244C"/>
    <w:rsid w:val="084E299A"/>
    <w:rsid w:val="08741479"/>
    <w:rsid w:val="088771B1"/>
    <w:rsid w:val="08963189"/>
    <w:rsid w:val="08D51472"/>
    <w:rsid w:val="08D768A6"/>
    <w:rsid w:val="08E66650"/>
    <w:rsid w:val="08EE6CB1"/>
    <w:rsid w:val="09052414"/>
    <w:rsid w:val="091D7155"/>
    <w:rsid w:val="093B3DEC"/>
    <w:rsid w:val="094B4331"/>
    <w:rsid w:val="09F93802"/>
    <w:rsid w:val="09FC145D"/>
    <w:rsid w:val="0A0D476A"/>
    <w:rsid w:val="0A126891"/>
    <w:rsid w:val="0A1C1DBE"/>
    <w:rsid w:val="0A1E46B5"/>
    <w:rsid w:val="0A2A0C5D"/>
    <w:rsid w:val="0A307B9E"/>
    <w:rsid w:val="0A470F2C"/>
    <w:rsid w:val="0A785A64"/>
    <w:rsid w:val="0A8D11A4"/>
    <w:rsid w:val="0AAA60A9"/>
    <w:rsid w:val="0AAB3E7E"/>
    <w:rsid w:val="0AAF7B2B"/>
    <w:rsid w:val="0AC27E25"/>
    <w:rsid w:val="0AC40E1D"/>
    <w:rsid w:val="0ADD3112"/>
    <w:rsid w:val="0AE836EF"/>
    <w:rsid w:val="0B091899"/>
    <w:rsid w:val="0B2203A6"/>
    <w:rsid w:val="0B2711C4"/>
    <w:rsid w:val="0B313691"/>
    <w:rsid w:val="0B564EA8"/>
    <w:rsid w:val="0B5B24BF"/>
    <w:rsid w:val="0B8E4D20"/>
    <w:rsid w:val="0B977C2A"/>
    <w:rsid w:val="0BA51DE3"/>
    <w:rsid w:val="0C053961"/>
    <w:rsid w:val="0C357923"/>
    <w:rsid w:val="0C4F5F47"/>
    <w:rsid w:val="0C5D2411"/>
    <w:rsid w:val="0CCC0A2B"/>
    <w:rsid w:val="0CEB4109"/>
    <w:rsid w:val="0CF7149F"/>
    <w:rsid w:val="0D035C2B"/>
    <w:rsid w:val="0D053AA9"/>
    <w:rsid w:val="0D162A77"/>
    <w:rsid w:val="0D800CFA"/>
    <w:rsid w:val="0D972E48"/>
    <w:rsid w:val="0DEA358D"/>
    <w:rsid w:val="0DEE362D"/>
    <w:rsid w:val="0E107277"/>
    <w:rsid w:val="0E182C69"/>
    <w:rsid w:val="0F09125A"/>
    <w:rsid w:val="0F2310B7"/>
    <w:rsid w:val="0F3A393F"/>
    <w:rsid w:val="0F5C1310"/>
    <w:rsid w:val="0F613A77"/>
    <w:rsid w:val="0F705A17"/>
    <w:rsid w:val="0F742FF5"/>
    <w:rsid w:val="0F82341C"/>
    <w:rsid w:val="0FC2610D"/>
    <w:rsid w:val="0FCE5158"/>
    <w:rsid w:val="0FE54F71"/>
    <w:rsid w:val="0FEF46CC"/>
    <w:rsid w:val="0FF16E13"/>
    <w:rsid w:val="10073C77"/>
    <w:rsid w:val="102F2E7E"/>
    <w:rsid w:val="1030199F"/>
    <w:rsid w:val="10445016"/>
    <w:rsid w:val="104C48E1"/>
    <w:rsid w:val="106411E1"/>
    <w:rsid w:val="10645E4C"/>
    <w:rsid w:val="10714DC2"/>
    <w:rsid w:val="108A751F"/>
    <w:rsid w:val="109B2D0C"/>
    <w:rsid w:val="10A740C5"/>
    <w:rsid w:val="10D62937"/>
    <w:rsid w:val="10D75D57"/>
    <w:rsid w:val="10FA4DC5"/>
    <w:rsid w:val="110C7DC0"/>
    <w:rsid w:val="11172663"/>
    <w:rsid w:val="1130790E"/>
    <w:rsid w:val="113508CB"/>
    <w:rsid w:val="113E6C61"/>
    <w:rsid w:val="1147500A"/>
    <w:rsid w:val="114B5C06"/>
    <w:rsid w:val="11536C95"/>
    <w:rsid w:val="11740537"/>
    <w:rsid w:val="119B640D"/>
    <w:rsid w:val="11A25B84"/>
    <w:rsid w:val="11A7140F"/>
    <w:rsid w:val="12035F44"/>
    <w:rsid w:val="1207266C"/>
    <w:rsid w:val="12111035"/>
    <w:rsid w:val="12115AE6"/>
    <w:rsid w:val="122F0A01"/>
    <w:rsid w:val="122F7415"/>
    <w:rsid w:val="126D6515"/>
    <w:rsid w:val="12A37848"/>
    <w:rsid w:val="12A37CE7"/>
    <w:rsid w:val="12A47542"/>
    <w:rsid w:val="12CC2415"/>
    <w:rsid w:val="12D14C07"/>
    <w:rsid w:val="12D20700"/>
    <w:rsid w:val="12DC01B1"/>
    <w:rsid w:val="12F90F80"/>
    <w:rsid w:val="13040342"/>
    <w:rsid w:val="130E4800"/>
    <w:rsid w:val="13127B15"/>
    <w:rsid w:val="131D5CD2"/>
    <w:rsid w:val="132A027B"/>
    <w:rsid w:val="1334680E"/>
    <w:rsid w:val="133E568A"/>
    <w:rsid w:val="1345529A"/>
    <w:rsid w:val="136E3E2A"/>
    <w:rsid w:val="137E415F"/>
    <w:rsid w:val="13853CDF"/>
    <w:rsid w:val="13C33C6C"/>
    <w:rsid w:val="13F40D33"/>
    <w:rsid w:val="13FE3BD3"/>
    <w:rsid w:val="1407495F"/>
    <w:rsid w:val="14116D73"/>
    <w:rsid w:val="14130A7E"/>
    <w:rsid w:val="14147C95"/>
    <w:rsid w:val="1416719E"/>
    <w:rsid w:val="14172CAD"/>
    <w:rsid w:val="14175937"/>
    <w:rsid w:val="14325EE1"/>
    <w:rsid w:val="14441D96"/>
    <w:rsid w:val="145A0C01"/>
    <w:rsid w:val="146E754A"/>
    <w:rsid w:val="14771BB8"/>
    <w:rsid w:val="147D06D2"/>
    <w:rsid w:val="147E7392"/>
    <w:rsid w:val="14B627B4"/>
    <w:rsid w:val="14C17151"/>
    <w:rsid w:val="14F7324C"/>
    <w:rsid w:val="14F828EF"/>
    <w:rsid w:val="15017B09"/>
    <w:rsid w:val="151D4B6C"/>
    <w:rsid w:val="152B4D5D"/>
    <w:rsid w:val="153349E7"/>
    <w:rsid w:val="153C30C7"/>
    <w:rsid w:val="153F17E6"/>
    <w:rsid w:val="1578698E"/>
    <w:rsid w:val="15B23C2F"/>
    <w:rsid w:val="15F5776E"/>
    <w:rsid w:val="15FE1B1A"/>
    <w:rsid w:val="16194F8C"/>
    <w:rsid w:val="162E6E29"/>
    <w:rsid w:val="1633403C"/>
    <w:rsid w:val="164E6997"/>
    <w:rsid w:val="16936FE2"/>
    <w:rsid w:val="16AC1796"/>
    <w:rsid w:val="16FC2846"/>
    <w:rsid w:val="1725014E"/>
    <w:rsid w:val="17310422"/>
    <w:rsid w:val="17322913"/>
    <w:rsid w:val="17450C73"/>
    <w:rsid w:val="17505834"/>
    <w:rsid w:val="175F6492"/>
    <w:rsid w:val="178A78F6"/>
    <w:rsid w:val="17AC05DB"/>
    <w:rsid w:val="17B931D1"/>
    <w:rsid w:val="17BA0F4C"/>
    <w:rsid w:val="17CD499E"/>
    <w:rsid w:val="17D80936"/>
    <w:rsid w:val="18095368"/>
    <w:rsid w:val="181633B6"/>
    <w:rsid w:val="183C5353"/>
    <w:rsid w:val="184A5864"/>
    <w:rsid w:val="186F6B74"/>
    <w:rsid w:val="188321D4"/>
    <w:rsid w:val="18FF022D"/>
    <w:rsid w:val="19026FBC"/>
    <w:rsid w:val="190577E5"/>
    <w:rsid w:val="19445C78"/>
    <w:rsid w:val="196D6C4B"/>
    <w:rsid w:val="19AE03DF"/>
    <w:rsid w:val="19B95F0E"/>
    <w:rsid w:val="19BE6C18"/>
    <w:rsid w:val="19F124B5"/>
    <w:rsid w:val="19FD5B37"/>
    <w:rsid w:val="1A1E69CA"/>
    <w:rsid w:val="1A4F70BE"/>
    <w:rsid w:val="1A514C1D"/>
    <w:rsid w:val="1A5C0757"/>
    <w:rsid w:val="1A5D7E15"/>
    <w:rsid w:val="1A6B501C"/>
    <w:rsid w:val="1A6D6352"/>
    <w:rsid w:val="1A901CA5"/>
    <w:rsid w:val="1A9D2948"/>
    <w:rsid w:val="1AA31723"/>
    <w:rsid w:val="1ABD3408"/>
    <w:rsid w:val="1ACB6B85"/>
    <w:rsid w:val="1ADF12EA"/>
    <w:rsid w:val="1B081A83"/>
    <w:rsid w:val="1B2239F1"/>
    <w:rsid w:val="1B4311DA"/>
    <w:rsid w:val="1B433B2B"/>
    <w:rsid w:val="1B450D51"/>
    <w:rsid w:val="1B46726B"/>
    <w:rsid w:val="1B504A0D"/>
    <w:rsid w:val="1B720F29"/>
    <w:rsid w:val="1B9806BC"/>
    <w:rsid w:val="1BF0714D"/>
    <w:rsid w:val="1C402940"/>
    <w:rsid w:val="1CBE7705"/>
    <w:rsid w:val="1CC216EA"/>
    <w:rsid w:val="1CC27B5A"/>
    <w:rsid w:val="1CD40E4A"/>
    <w:rsid w:val="1D195563"/>
    <w:rsid w:val="1D1A2466"/>
    <w:rsid w:val="1D231571"/>
    <w:rsid w:val="1D386751"/>
    <w:rsid w:val="1D511483"/>
    <w:rsid w:val="1D530C05"/>
    <w:rsid w:val="1D582F13"/>
    <w:rsid w:val="1D5C110F"/>
    <w:rsid w:val="1D616FDC"/>
    <w:rsid w:val="1D7C3C95"/>
    <w:rsid w:val="1D892E5D"/>
    <w:rsid w:val="1D8D6B31"/>
    <w:rsid w:val="1D9C1761"/>
    <w:rsid w:val="1E196BBA"/>
    <w:rsid w:val="1E4A51ED"/>
    <w:rsid w:val="1E4D7F73"/>
    <w:rsid w:val="1E503124"/>
    <w:rsid w:val="1E553A23"/>
    <w:rsid w:val="1E593D12"/>
    <w:rsid w:val="1E5B5FFA"/>
    <w:rsid w:val="1E8A1632"/>
    <w:rsid w:val="1EB81A9A"/>
    <w:rsid w:val="1ED10732"/>
    <w:rsid w:val="1EEF5F93"/>
    <w:rsid w:val="1EF227A2"/>
    <w:rsid w:val="1F0F6365"/>
    <w:rsid w:val="1F184ADF"/>
    <w:rsid w:val="1F1972A5"/>
    <w:rsid w:val="1F525B2E"/>
    <w:rsid w:val="1F6D19E4"/>
    <w:rsid w:val="1F7D48C6"/>
    <w:rsid w:val="1F882355"/>
    <w:rsid w:val="1F8B424D"/>
    <w:rsid w:val="1FAC01C5"/>
    <w:rsid w:val="1FC53EEA"/>
    <w:rsid w:val="1FCB60D0"/>
    <w:rsid w:val="2041499C"/>
    <w:rsid w:val="20913F1F"/>
    <w:rsid w:val="209249EF"/>
    <w:rsid w:val="20BD0E6C"/>
    <w:rsid w:val="20E56B4E"/>
    <w:rsid w:val="20FC0348"/>
    <w:rsid w:val="2102690F"/>
    <w:rsid w:val="21047632"/>
    <w:rsid w:val="21092C7A"/>
    <w:rsid w:val="210C45D0"/>
    <w:rsid w:val="21176F6A"/>
    <w:rsid w:val="21191953"/>
    <w:rsid w:val="213075C4"/>
    <w:rsid w:val="21455EFF"/>
    <w:rsid w:val="2161351A"/>
    <w:rsid w:val="21761464"/>
    <w:rsid w:val="2178527B"/>
    <w:rsid w:val="21873005"/>
    <w:rsid w:val="218F435A"/>
    <w:rsid w:val="219747AA"/>
    <w:rsid w:val="21B81E98"/>
    <w:rsid w:val="21CD16C8"/>
    <w:rsid w:val="21D44907"/>
    <w:rsid w:val="21DB46EB"/>
    <w:rsid w:val="21F43340"/>
    <w:rsid w:val="220838B0"/>
    <w:rsid w:val="22162461"/>
    <w:rsid w:val="222730D0"/>
    <w:rsid w:val="22396E11"/>
    <w:rsid w:val="224D2430"/>
    <w:rsid w:val="226C728C"/>
    <w:rsid w:val="227A117F"/>
    <w:rsid w:val="228B2F47"/>
    <w:rsid w:val="2296460A"/>
    <w:rsid w:val="22CD3C4F"/>
    <w:rsid w:val="22EC54D1"/>
    <w:rsid w:val="23214F65"/>
    <w:rsid w:val="232419C4"/>
    <w:rsid w:val="232F3FEA"/>
    <w:rsid w:val="2333720C"/>
    <w:rsid w:val="234F3902"/>
    <w:rsid w:val="23500B13"/>
    <w:rsid w:val="23A16E59"/>
    <w:rsid w:val="23AD3FA3"/>
    <w:rsid w:val="23AE2FA4"/>
    <w:rsid w:val="23C5159F"/>
    <w:rsid w:val="23D60774"/>
    <w:rsid w:val="240C6FBF"/>
    <w:rsid w:val="246D6106"/>
    <w:rsid w:val="249A26CF"/>
    <w:rsid w:val="24B14E1C"/>
    <w:rsid w:val="24C32661"/>
    <w:rsid w:val="24E413FD"/>
    <w:rsid w:val="24F46B05"/>
    <w:rsid w:val="252B34F1"/>
    <w:rsid w:val="254B2053"/>
    <w:rsid w:val="25540930"/>
    <w:rsid w:val="256C6F52"/>
    <w:rsid w:val="257C5B47"/>
    <w:rsid w:val="25D548FE"/>
    <w:rsid w:val="25DE79DC"/>
    <w:rsid w:val="25F7539A"/>
    <w:rsid w:val="2601453E"/>
    <w:rsid w:val="2615445D"/>
    <w:rsid w:val="264027E6"/>
    <w:rsid w:val="26420755"/>
    <w:rsid w:val="26526872"/>
    <w:rsid w:val="266928F3"/>
    <w:rsid w:val="269273EF"/>
    <w:rsid w:val="269A6A9C"/>
    <w:rsid w:val="269C74E2"/>
    <w:rsid w:val="26B96549"/>
    <w:rsid w:val="26C40E44"/>
    <w:rsid w:val="26E634CD"/>
    <w:rsid w:val="26F02F98"/>
    <w:rsid w:val="26F829E6"/>
    <w:rsid w:val="26FB1E2E"/>
    <w:rsid w:val="2712173A"/>
    <w:rsid w:val="271A1704"/>
    <w:rsid w:val="2720730C"/>
    <w:rsid w:val="272B4D38"/>
    <w:rsid w:val="27442D11"/>
    <w:rsid w:val="274A3EFE"/>
    <w:rsid w:val="275031A7"/>
    <w:rsid w:val="27506548"/>
    <w:rsid w:val="2756646F"/>
    <w:rsid w:val="276F582B"/>
    <w:rsid w:val="27790B12"/>
    <w:rsid w:val="27974B46"/>
    <w:rsid w:val="279A0973"/>
    <w:rsid w:val="27A969E0"/>
    <w:rsid w:val="27BA70C7"/>
    <w:rsid w:val="27E376A1"/>
    <w:rsid w:val="27E5157A"/>
    <w:rsid w:val="27E60492"/>
    <w:rsid w:val="27F87AF2"/>
    <w:rsid w:val="27FE492E"/>
    <w:rsid w:val="283D23C9"/>
    <w:rsid w:val="285A4A11"/>
    <w:rsid w:val="287D4896"/>
    <w:rsid w:val="28AD1CDE"/>
    <w:rsid w:val="28AF03B6"/>
    <w:rsid w:val="28AF782C"/>
    <w:rsid w:val="28C33816"/>
    <w:rsid w:val="28CE2AB6"/>
    <w:rsid w:val="28DB1EB3"/>
    <w:rsid w:val="28ED565D"/>
    <w:rsid w:val="28FF69DC"/>
    <w:rsid w:val="29051E36"/>
    <w:rsid w:val="29164413"/>
    <w:rsid w:val="29357304"/>
    <w:rsid w:val="2936536C"/>
    <w:rsid w:val="293D1F34"/>
    <w:rsid w:val="29446342"/>
    <w:rsid w:val="295535F6"/>
    <w:rsid w:val="29566C36"/>
    <w:rsid w:val="295C0660"/>
    <w:rsid w:val="296548F3"/>
    <w:rsid w:val="29757553"/>
    <w:rsid w:val="29A86E74"/>
    <w:rsid w:val="29D70282"/>
    <w:rsid w:val="29DC621D"/>
    <w:rsid w:val="29E66407"/>
    <w:rsid w:val="2A087CCC"/>
    <w:rsid w:val="2A1132D0"/>
    <w:rsid w:val="2A182881"/>
    <w:rsid w:val="2A2425AD"/>
    <w:rsid w:val="2A5A1291"/>
    <w:rsid w:val="2A7F180E"/>
    <w:rsid w:val="2A8A730E"/>
    <w:rsid w:val="2A905EBB"/>
    <w:rsid w:val="2AB040D2"/>
    <w:rsid w:val="2AC639AD"/>
    <w:rsid w:val="2ACD7EC0"/>
    <w:rsid w:val="2B02160A"/>
    <w:rsid w:val="2B071FC5"/>
    <w:rsid w:val="2B1B5D90"/>
    <w:rsid w:val="2B294638"/>
    <w:rsid w:val="2B2B4802"/>
    <w:rsid w:val="2B4E5663"/>
    <w:rsid w:val="2B6A4522"/>
    <w:rsid w:val="2B874C14"/>
    <w:rsid w:val="2BA744E0"/>
    <w:rsid w:val="2BD56B46"/>
    <w:rsid w:val="2BF22C9E"/>
    <w:rsid w:val="2BFC6E8C"/>
    <w:rsid w:val="2C0F63E3"/>
    <w:rsid w:val="2C2E54E6"/>
    <w:rsid w:val="2C32512D"/>
    <w:rsid w:val="2C382E9F"/>
    <w:rsid w:val="2C551E76"/>
    <w:rsid w:val="2C5B4A04"/>
    <w:rsid w:val="2C637996"/>
    <w:rsid w:val="2C8D5036"/>
    <w:rsid w:val="2CA85553"/>
    <w:rsid w:val="2CEE68E8"/>
    <w:rsid w:val="2D02291A"/>
    <w:rsid w:val="2D1423FA"/>
    <w:rsid w:val="2D290926"/>
    <w:rsid w:val="2D4F2506"/>
    <w:rsid w:val="2D5711C6"/>
    <w:rsid w:val="2D5B3EB8"/>
    <w:rsid w:val="2D8C4539"/>
    <w:rsid w:val="2DC0440F"/>
    <w:rsid w:val="2DD45CB5"/>
    <w:rsid w:val="2DEC30ED"/>
    <w:rsid w:val="2E392E80"/>
    <w:rsid w:val="2E4D03D6"/>
    <w:rsid w:val="2E683526"/>
    <w:rsid w:val="2E7C7D5B"/>
    <w:rsid w:val="2E9A5FBD"/>
    <w:rsid w:val="2E9E58A2"/>
    <w:rsid w:val="2EA92547"/>
    <w:rsid w:val="2EBC1CC5"/>
    <w:rsid w:val="2EF545A5"/>
    <w:rsid w:val="2F0C1E6A"/>
    <w:rsid w:val="2F316E79"/>
    <w:rsid w:val="2F3957B7"/>
    <w:rsid w:val="2F422746"/>
    <w:rsid w:val="2F4633D5"/>
    <w:rsid w:val="2F605A37"/>
    <w:rsid w:val="3032629E"/>
    <w:rsid w:val="30481C1F"/>
    <w:rsid w:val="30514827"/>
    <w:rsid w:val="30777F6C"/>
    <w:rsid w:val="30857212"/>
    <w:rsid w:val="30B2646F"/>
    <w:rsid w:val="30C4415B"/>
    <w:rsid w:val="30D277A6"/>
    <w:rsid w:val="30E35CCB"/>
    <w:rsid w:val="30E95A68"/>
    <w:rsid w:val="30EE46A7"/>
    <w:rsid w:val="30F91F70"/>
    <w:rsid w:val="30FC2A3D"/>
    <w:rsid w:val="310272F4"/>
    <w:rsid w:val="31125B20"/>
    <w:rsid w:val="311E11EC"/>
    <w:rsid w:val="311F3C7F"/>
    <w:rsid w:val="316D7FDE"/>
    <w:rsid w:val="317F3CB5"/>
    <w:rsid w:val="31936360"/>
    <w:rsid w:val="3199769D"/>
    <w:rsid w:val="319E5181"/>
    <w:rsid w:val="31B94801"/>
    <w:rsid w:val="31CB3F7D"/>
    <w:rsid w:val="31D019BB"/>
    <w:rsid w:val="31F03BEE"/>
    <w:rsid w:val="32063D74"/>
    <w:rsid w:val="320A1F80"/>
    <w:rsid w:val="323434A0"/>
    <w:rsid w:val="3239763C"/>
    <w:rsid w:val="324D190A"/>
    <w:rsid w:val="326726F7"/>
    <w:rsid w:val="32732214"/>
    <w:rsid w:val="32751E27"/>
    <w:rsid w:val="32904FE2"/>
    <w:rsid w:val="32CB5D64"/>
    <w:rsid w:val="32D87F17"/>
    <w:rsid w:val="32E2215B"/>
    <w:rsid w:val="32F96867"/>
    <w:rsid w:val="33495661"/>
    <w:rsid w:val="33504B4D"/>
    <w:rsid w:val="335967D4"/>
    <w:rsid w:val="338B0516"/>
    <w:rsid w:val="339B5BBF"/>
    <w:rsid w:val="33AB4009"/>
    <w:rsid w:val="33BA1204"/>
    <w:rsid w:val="33C02FA9"/>
    <w:rsid w:val="34011EF7"/>
    <w:rsid w:val="3402224A"/>
    <w:rsid w:val="340C6CA9"/>
    <w:rsid w:val="342E7EC1"/>
    <w:rsid w:val="343437B9"/>
    <w:rsid w:val="344A2EE1"/>
    <w:rsid w:val="3458545A"/>
    <w:rsid w:val="345A16ED"/>
    <w:rsid w:val="347B2678"/>
    <w:rsid w:val="34817BBD"/>
    <w:rsid w:val="34901FE2"/>
    <w:rsid w:val="34D457CC"/>
    <w:rsid w:val="34F36021"/>
    <w:rsid w:val="351C5022"/>
    <w:rsid w:val="35547838"/>
    <w:rsid w:val="355D228D"/>
    <w:rsid w:val="359824A9"/>
    <w:rsid w:val="35A26303"/>
    <w:rsid w:val="35B55205"/>
    <w:rsid w:val="35DA3BAD"/>
    <w:rsid w:val="36027214"/>
    <w:rsid w:val="361C69F1"/>
    <w:rsid w:val="362D08AF"/>
    <w:rsid w:val="364B5FD3"/>
    <w:rsid w:val="364D67E8"/>
    <w:rsid w:val="36693485"/>
    <w:rsid w:val="367510F4"/>
    <w:rsid w:val="3675373F"/>
    <w:rsid w:val="36900390"/>
    <w:rsid w:val="36A44D9E"/>
    <w:rsid w:val="36BD757C"/>
    <w:rsid w:val="36C612DF"/>
    <w:rsid w:val="36F61C13"/>
    <w:rsid w:val="370B6615"/>
    <w:rsid w:val="373C0759"/>
    <w:rsid w:val="374C5608"/>
    <w:rsid w:val="375B29C6"/>
    <w:rsid w:val="37643C27"/>
    <w:rsid w:val="37700186"/>
    <w:rsid w:val="37A66AE6"/>
    <w:rsid w:val="38194032"/>
    <w:rsid w:val="382A1B9C"/>
    <w:rsid w:val="38657751"/>
    <w:rsid w:val="3868696A"/>
    <w:rsid w:val="387A7F91"/>
    <w:rsid w:val="38837C83"/>
    <w:rsid w:val="38866175"/>
    <w:rsid w:val="388821F7"/>
    <w:rsid w:val="38A50AF5"/>
    <w:rsid w:val="38BE276F"/>
    <w:rsid w:val="38D10160"/>
    <w:rsid w:val="38DB6248"/>
    <w:rsid w:val="38F228AB"/>
    <w:rsid w:val="38F34D72"/>
    <w:rsid w:val="390B0964"/>
    <w:rsid w:val="392F25D2"/>
    <w:rsid w:val="39762091"/>
    <w:rsid w:val="399902CF"/>
    <w:rsid w:val="399B54E6"/>
    <w:rsid w:val="39A34965"/>
    <w:rsid w:val="39A826E2"/>
    <w:rsid w:val="39E41AE7"/>
    <w:rsid w:val="39F25731"/>
    <w:rsid w:val="39FC1A6F"/>
    <w:rsid w:val="3A070A48"/>
    <w:rsid w:val="3A0C24AE"/>
    <w:rsid w:val="3A0D28CD"/>
    <w:rsid w:val="3A0E247C"/>
    <w:rsid w:val="3A203B94"/>
    <w:rsid w:val="3A2F61DA"/>
    <w:rsid w:val="3A6B30E4"/>
    <w:rsid w:val="3A7956F5"/>
    <w:rsid w:val="3A7965DC"/>
    <w:rsid w:val="3AA32480"/>
    <w:rsid w:val="3AA439E3"/>
    <w:rsid w:val="3AB23D08"/>
    <w:rsid w:val="3AC82840"/>
    <w:rsid w:val="3ACA0E81"/>
    <w:rsid w:val="3AD37600"/>
    <w:rsid w:val="3AD93310"/>
    <w:rsid w:val="3AF026AB"/>
    <w:rsid w:val="3B482A6F"/>
    <w:rsid w:val="3B4F219C"/>
    <w:rsid w:val="3B834FDB"/>
    <w:rsid w:val="3B8B6B2E"/>
    <w:rsid w:val="3B9C7FEC"/>
    <w:rsid w:val="3BC2649F"/>
    <w:rsid w:val="3BDF45F8"/>
    <w:rsid w:val="3BE37A52"/>
    <w:rsid w:val="3C020CE0"/>
    <w:rsid w:val="3C0860F2"/>
    <w:rsid w:val="3C116981"/>
    <w:rsid w:val="3C490D43"/>
    <w:rsid w:val="3C4C6B5E"/>
    <w:rsid w:val="3C697CD4"/>
    <w:rsid w:val="3C7F5F63"/>
    <w:rsid w:val="3CB556BA"/>
    <w:rsid w:val="3CC87EB5"/>
    <w:rsid w:val="3CE207DE"/>
    <w:rsid w:val="3CF53E6B"/>
    <w:rsid w:val="3CFF7E1F"/>
    <w:rsid w:val="3D4017EE"/>
    <w:rsid w:val="3D4B488D"/>
    <w:rsid w:val="3D516EB9"/>
    <w:rsid w:val="3D6309A2"/>
    <w:rsid w:val="3D64082A"/>
    <w:rsid w:val="3D780E09"/>
    <w:rsid w:val="3D991931"/>
    <w:rsid w:val="3D9B2095"/>
    <w:rsid w:val="3DB51AA7"/>
    <w:rsid w:val="3DC95881"/>
    <w:rsid w:val="3DD03DEC"/>
    <w:rsid w:val="3DE473EA"/>
    <w:rsid w:val="3DEE3F16"/>
    <w:rsid w:val="3DF179C6"/>
    <w:rsid w:val="3E03024E"/>
    <w:rsid w:val="3E04287B"/>
    <w:rsid w:val="3E094DD5"/>
    <w:rsid w:val="3E0C6D3D"/>
    <w:rsid w:val="3E19127F"/>
    <w:rsid w:val="3E19611C"/>
    <w:rsid w:val="3E1B140B"/>
    <w:rsid w:val="3E2049A4"/>
    <w:rsid w:val="3E245D54"/>
    <w:rsid w:val="3E2B3A6F"/>
    <w:rsid w:val="3E36344E"/>
    <w:rsid w:val="3E4239A8"/>
    <w:rsid w:val="3E5B2215"/>
    <w:rsid w:val="3E5C48AA"/>
    <w:rsid w:val="3E5E376A"/>
    <w:rsid w:val="3E6D2A72"/>
    <w:rsid w:val="3E9849DB"/>
    <w:rsid w:val="3EA613DB"/>
    <w:rsid w:val="3EB0539B"/>
    <w:rsid w:val="3EB3241B"/>
    <w:rsid w:val="3EC32350"/>
    <w:rsid w:val="3ED251B0"/>
    <w:rsid w:val="3ED37C31"/>
    <w:rsid w:val="3EF8419E"/>
    <w:rsid w:val="3F177700"/>
    <w:rsid w:val="3F1C13A2"/>
    <w:rsid w:val="3F1F5854"/>
    <w:rsid w:val="3F245D97"/>
    <w:rsid w:val="3F30293C"/>
    <w:rsid w:val="3F4D4E85"/>
    <w:rsid w:val="3F8313BB"/>
    <w:rsid w:val="3F895D31"/>
    <w:rsid w:val="3F936A7F"/>
    <w:rsid w:val="3F9D1688"/>
    <w:rsid w:val="3FA45C46"/>
    <w:rsid w:val="3FA7459C"/>
    <w:rsid w:val="3FD562FB"/>
    <w:rsid w:val="3FE42C58"/>
    <w:rsid w:val="40416998"/>
    <w:rsid w:val="40431EBE"/>
    <w:rsid w:val="404574F3"/>
    <w:rsid w:val="408B238F"/>
    <w:rsid w:val="409512A2"/>
    <w:rsid w:val="40BF7D9E"/>
    <w:rsid w:val="40D71ECE"/>
    <w:rsid w:val="40E26EB3"/>
    <w:rsid w:val="40E62C83"/>
    <w:rsid w:val="410673B9"/>
    <w:rsid w:val="413D4CDB"/>
    <w:rsid w:val="413D6B4A"/>
    <w:rsid w:val="41445E7E"/>
    <w:rsid w:val="416F6CAA"/>
    <w:rsid w:val="417D4D49"/>
    <w:rsid w:val="41A123FE"/>
    <w:rsid w:val="41C743E3"/>
    <w:rsid w:val="41D36555"/>
    <w:rsid w:val="41E07C2F"/>
    <w:rsid w:val="41EE57ED"/>
    <w:rsid w:val="41FA6E29"/>
    <w:rsid w:val="420735DC"/>
    <w:rsid w:val="420D226E"/>
    <w:rsid w:val="421F0038"/>
    <w:rsid w:val="421F6495"/>
    <w:rsid w:val="422405DA"/>
    <w:rsid w:val="42390B60"/>
    <w:rsid w:val="424A37DE"/>
    <w:rsid w:val="425025B7"/>
    <w:rsid w:val="425A5E27"/>
    <w:rsid w:val="42695057"/>
    <w:rsid w:val="42713325"/>
    <w:rsid w:val="42A54348"/>
    <w:rsid w:val="42B93C75"/>
    <w:rsid w:val="42D32A9F"/>
    <w:rsid w:val="42DD1AA5"/>
    <w:rsid w:val="42E61174"/>
    <w:rsid w:val="42F8433C"/>
    <w:rsid w:val="42FC1CDF"/>
    <w:rsid w:val="42FC6611"/>
    <w:rsid w:val="43074D92"/>
    <w:rsid w:val="431D492A"/>
    <w:rsid w:val="434E7206"/>
    <w:rsid w:val="435A1729"/>
    <w:rsid w:val="436B2F7E"/>
    <w:rsid w:val="4380226B"/>
    <w:rsid w:val="44401DAA"/>
    <w:rsid w:val="444709CF"/>
    <w:rsid w:val="444D0482"/>
    <w:rsid w:val="447C0590"/>
    <w:rsid w:val="44807AA3"/>
    <w:rsid w:val="44B018BD"/>
    <w:rsid w:val="44FE3910"/>
    <w:rsid w:val="451C3893"/>
    <w:rsid w:val="451F5D4B"/>
    <w:rsid w:val="454D559E"/>
    <w:rsid w:val="45552111"/>
    <w:rsid w:val="457F56C1"/>
    <w:rsid w:val="45BD5D6F"/>
    <w:rsid w:val="45D66237"/>
    <w:rsid w:val="45E21D0E"/>
    <w:rsid w:val="45F61221"/>
    <w:rsid w:val="45FF76B2"/>
    <w:rsid w:val="461E17DF"/>
    <w:rsid w:val="461F1C85"/>
    <w:rsid w:val="463B7327"/>
    <w:rsid w:val="463F5C3B"/>
    <w:rsid w:val="46424594"/>
    <w:rsid w:val="46636BF6"/>
    <w:rsid w:val="467A7A0D"/>
    <w:rsid w:val="468F37B1"/>
    <w:rsid w:val="468F5718"/>
    <w:rsid w:val="46977D13"/>
    <w:rsid w:val="46D41155"/>
    <w:rsid w:val="471078A9"/>
    <w:rsid w:val="471E4F64"/>
    <w:rsid w:val="47444953"/>
    <w:rsid w:val="476126FF"/>
    <w:rsid w:val="47821C4F"/>
    <w:rsid w:val="47901BC1"/>
    <w:rsid w:val="479469D9"/>
    <w:rsid w:val="47990F24"/>
    <w:rsid w:val="47BA413C"/>
    <w:rsid w:val="47D71952"/>
    <w:rsid w:val="47F43591"/>
    <w:rsid w:val="483B1671"/>
    <w:rsid w:val="486F1008"/>
    <w:rsid w:val="48B430FA"/>
    <w:rsid w:val="48C11F79"/>
    <w:rsid w:val="48D164F9"/>
    <w:rsid w:val="48E729C9"/>
    <w:rsid w:val="48F20B05"/>
    <w:rsid w:val="490B0521"/>
    <w:rsid w:val="493355AA"/>
    <w:rsid w:val="497B219A"/>
    <w:rsid w:val="4981759D"/>
    <w:rsid w:val="4988454B"/>
    <w:rsid w:val="498B2E75"/>
    <w:rsid w:val="499311FC"/>
    <w:rsid w:val="499534BD"/>
    <w:rsid w:val="49B12754"/>
    <w:rsid w:val="49C01074"/>
    <w:rsid w:val="4A561D4B"/>
    <w:rsid w:val="4A7C4869"/>
    <w:rsid w:val="4A91432F"/>
    <w:rsid w:val="4A933646"/>
    <w:rsid w:val="4AB438CD"/>
    <w:rsid w:val="4AC3024B"/>
    <w:rsid w:val="4AD23ED8"/>
    <w:rsid w:val="4AD27DA6"/>
    <w:rsid w:val="4AD55D2B"/>
    <w:rsid w:val="4AE51810"/>
    <w:rsid w:val="4B287859"/>
    <w:rsid w:val="4B356ECB"/>
    <w:rsid w:val="4B3C3382"/>
    <w:rsid w:val="4B3C7F28"/>
    <w:rsid w:val="4B644546"/>
    <w:rsid w:val="4B800284"/>
    <w:rsid w:val="4B9650C6"/>
    <w:rsid w:val="4B9C4818"/>
    <w:rsid w:val="4BB168C7"/>
    <w:rsid w:val="4BB30BC0"/>
    <w:rsid w:val="4BCF1936"/>
    <w:rsid w:val="4BD5168A"/>
    <w:rsid w:val="4BDE51DC"/>
    <w:rsid w:val="4C1B63D7"/>
    <w:rsid w:val="4C1C36F4"/>
    <w:rsid w:val="4C321D60"/>
    <w:rsid w:val="4C357616"/>
    <w:rsid w:val="4C4578F8"/>
    <w:rsid w:val="4C912E29"/>
    <w:rsid w:val="4CA90B36"/>
    <w:rsid w:val="4CB71533"/>
    <w:rsid w:val="4CDA7746"/>
    <w:rsid w:val="4CEB57A4"/>
    <w:rsid w:val="4D26026F"/>
    <w:rsid w:val="4D467ADC"/>
    <w:rsid w:val="4D700F5A"/>
    <w:rsid w:val="4D91022A"/>
    <w:rsid w:val="4DB15109"/>
    <w:rsid w:val="4DF27CAA"/>
    <w:rsid w:val="4E1976EA"/>
    <w:rsid w:val="4E2D71D1"/>
    <w:rsid w:val="4E590D8A"/>
    <w:rsid w:val="4E694860"/>
    <w:rsid w:val="4E6D7974"/>
    <w:rsid w:val="4E760743"/>
    <w:rsid w:val="4E8C3C3D"/>
    <w:rsid w:val="4ECF2827"/>
    <w:rsid w:val="4ED4035F"/>
    <w:rsid w:val="4ED8393E"/>
    <w:rsid w:val="4EE40C8A"/>
    <w:rsid w:val="4EEA3996"/>
    <w:rsid w:val="4F047BE6"/>
    <w:rsid w:val="4F0F6766"/>
    <w:rsid w:val="4F396744"/>
    <w:rsid w:val="4F3E20BF"/>
    <w:rsid w:val="4F430C2E"/>
    <w:rsid w:val="4F5D0585"/>
    <w:rsid w:val="4F8B56C8"/>
    <w:rsid w:val="4FF833F9"/>
    <w:rsid w:val="4FF86BC2"/>
    <w:rsid w:val="50337846"/>
    <w:rsid w:val="50372526"/>
    <w:rsid w:val="50384983"/>
    <w:rsid w:val="50453E37"/>
    <w:rsid w:val="507266DE"/>
    <w:rsid w:val="507F214C"/>
    <w:rsid w:val="50854009"/>
    <w:rsid w:val="50F53BBB"/>
    <w:rsid w:val="50F6718C"/>
    <w:rsid w:val="50FD557E"/>
    <w:rsid w:val="510E7E79"/>
    <w:rsid w:val="51195ECD"/>
    <w:rsid w:val="51372C7A"/>
    <w:rsid w:val="5137644A"/>
    <w:rsid w:val="514771F6"/>
    <w:rsid w:val="5158231A"/>
    <w:rsid w:val="51626AE8"/>
    <w:rsid w:val="51B5181F"/>
    <w:rsid w:val="52245862"/>
    <w:rsid w:val="52440BC6"/>
    <w:rsid w:val="52740704"/>
    <w:rsid w:val="52872C1F"/>
    <w:rsid w:val="528D46C0"/>
    <w:rsid w:val="52985112"/>
    <w:rsid w:val="52C57A77"/>
    <w:rsid w:val="52D83C1E"/>
    <w:rsid w:val="52E62138"/>
    <w:rsid w:val="52E83778"/>
    <w:rsid w:val="52EF5CBC"/>
    <w:rsid w:val="531B1E20"/>
    <w:rsid w:val="532A18CD"/>
    <w:rsid w:val="532A4935"/>
    <w:rsid w:val="53320D17"/>
    <w:rsid w:val="53493A90"/>
    <w:rsid w:val="536224FB"/>
    <w:rsid w:val="53706D26"/>
    <w:rsid w:val="53735321"/>
    <w:rsid w:val="53831193"/>
    <w:rsid w:val="539A2534"/>
    <w:rsid w:val="53B36801"/>
    <w:rsid w:val="53DC16E1"/>
    <w:rsid w:val="540B1DCF"/>
    <w:rsid w:val="54323FEE"/>
    <w:rsid w:val="54977593"/>
    <w:rsid w:val="54A04DC2"/>
    <w:rsid w:val="54A55DD8"/>
    <w:rsid w:val="54A754CA"/>
    <w:rsid w:val="54B10223"/>
    <w:rsid w:val="54C1516A"/>
    <w:rsid w:val="54C22B7D"/>
    <w:rsid w:val="54D17439"/>
    <w:rsid w:val="54D95E13"/>
    <w:rsid w:val="54F62C31"/>
    <w:rsid w:val="550671C9"/>
    <w:rsid w:val="550B7BAA"/>
    <w:rsid w:val="551103B5"/>
    <w:rsid w:val="554B02E9"/>
    <w:rsid w:val="55743CD3"/>
    <w:rsid w:val="55923B8E"/>
    <w:rsid w:val="559C4907"/>
    <w:rsid w:val="55AE6F28"/>
    <w:rsid w:val="55C41BC6"/>
    <w:rsid w:val="55C8086D"/>
    <w:rsid w:val="55C95CEE"/>
    <w:rsid w:val="55D80B7A"/>
    <w:rsid w:val="55E038C4"/>
    <w:rsid w:val="55E057A4"/>
    <w:rsid w:val="55E474BB"/>
    <w:rsid w:val="55FF0C82"/>
    <w:rsid w:val="562F37C6"/>
    <w:rsid w:val="56365D4F"/>
    <w:rsid w:val="5656201B"/>
    <w:rsid w:val="566175F6"/>
    <w:rsid w:val="566573B8"/>
    <w:rsid w:val="566F191E"/>
    <w:rsid w:val="56794C45"/>
    <w:rsid w:val="568A7889"/>
    <w:rsid w:val="56916409"/>
    <w:rsid w:val="56973BE6"/>
    <w:rsid w:val="569F27F4"/>
    <w:rsid w:val="56A0078C"/>
    <w:rsid w:val="56F67927"/>
    <w:rsid w:val="570E3071"/>
    <w:rsid w:val="57115969"/>
    <w:rsid w:val="573E0983"/>
    <w:rsid w:val="577936AD"/>
    <w:rsid w:val="577F4ADD"/>
    <w:rsid w:val="57B27EAF"/>
    <w:rsid w:val="57DD62E9"/>
    <w:rsid w:val="580505D6"/>
    <w:rsid w:val="58055C41"/>
    <w:rsid w:val="58083DAB"/>
    <w:rsid w:val="58A368A2"/>
    <w:rsid w:val="58A45E99"/>
    <w:rsid w:val="58AB6D15"/>
    <w:rsid w:val="58AE225A"/>
    <w:rsid w:val="58C13D1C"/>
    <w:rsid w:val="58DE103E"/>
    <w:rsid w:val="590950F2"/>
    <w:rsid w:val="59107606"/>
    <w:rsid w:val="5946303A"/>
    <w:rsid w:val="596179B7"/>
    <w:rsid w:val="598A1546"/>
    <w:rsid w:val="599F598B"/>
    <w:rsid w:val="59ED0350"/>
    <w:rsid w:val="5A2219D7"/>
    <w:rsid w:val="5A381C69"/>
    <w:rsid w:val="5A3C2E9B"/>
    <w:rsid w:val="5A9A139A"/>
    <w:rsid w:val="5AA206C6"/>
    <w:rsid w:val="5AA937C5"/>
    <w:rsid w:val="5AC31D3F"/>
    <w:rsid w:val="5ACD193F"/>
    <w:rsid w:val="5AE55B9F"/>
    <w:rsid w:val="5AEF263E"/>
    <w:rsid w:val="5AFA2866"/>
    <w:rsid w:val="5B0C276E"/>
    <w:rsid w:val="5B3F7BF4"/>
    <w:rsid w:val="5B4429B4"/>
    <w:rsid w:val="5B487389"/>
    <w:rsid w:val="5B7E3955"/>
    <w:rsid w:val="5B9C48F9"/>
    <w:rsid w:val="5B9F1EE9"/>
    <w:rsid w:val="5BC511C1"/>
    <w:rsid w:val="5BCA6147"/>
    <w:rsid w:val="5BEB632B"/>
    <w:rsid w:val="5BF67934"/>
    <w:rsid w:val="5C0C1FD5"/>
    <w:rsid w:val="5C0C47F1"/>
    <w:rsid w:val="5C1E3403"/>
    <w:rsid w:val="5C304B8D"/>
    <w:rsid w:val="5C3307F4"/>
    <w:rsid w:val="5C3C2303"/>
    <w:rsid w:val="5C432D1A"/>
    <w:rsid w:val="5C47469A"/>
    <w:rsid w:val="5C570390"/>
    <w:rsid w:val="5C60330A"/>
    <w:rsid w:val="5C6679F2"/>
    <w:rsid w:val="5C9406BD"/>
    <w:rsid w:val="5CB67968"/>
    <w:rsid w:val="5CBC4897"/>
    <w:rsid w:val="5CBF35F0"/>
    <w:rsid w:val="5CD05432"/>
    <w:rsid w:val="5CD4211E"/>
    <w:rsid w:val="5CE62D3D"/>
    <w:rsid w:val="5CF46EA7"/>
    <w:rsid w:val="5D0C631E"/>
    <w:rsid w:val="5D317346"/>
    <w:rsid w:val="5D3B2785"/>
    <w:rsid w:val="5D455300"/>
    <w:rsid w:val="5D6714E8"/>
    <w:rsid w:val="5D9B2CE7"/>
    <w:rsid w:val="5DB34F6B"/>
    <w:rsid w:val="5DDB2CC9"/>
    <w:rsid w:val="5DF36872"/>
    <w:rsid w:val="5DFE470F"/>
    <w:rsid w:val="5E096876"/>
    <w:rsid w:val="5E1A205D"/>
    <w:rsid w:val="5E5A20DC"/>
    <w:rsid w:val="5E8D477D"/>
    <w:rsid w:val="5EA2387E"/>
    <w:rsid w:val="5EC5362D"/>
    <w:rsid w:val="5ECC21EA"/>
    <w:rsid w:val="5ECD5FF5"/>
    <w:rsid w:val="5EF018A5"/>
    <w:rsid w:val="5EFF0523"/>
    <w:rsid w:val="5F1309D8"/>
    <w:rsid w:val="5F2B1B86"/>
    <w:rsid w:val="5F495468"/>
    <w:rsid w:val="5F862F15"/>
    <w:rsid w:val="5FA21199"/>
    <w:rsid w:val="5FB603D3"/>
    <w:rsid w:val="5FE962ED"/>
    <w:rsid w:val="5FEC6226"/>
    <w:rsid w:val="600C1709"/>
    <w:rsid w:val="600F2944"/>
    <w:rsid w:val="60111FBD"/>
    <w:rsid w:val="6020465D"/>
    <w:rsid w:val="603F4D75"/>
    <w:rsid w:val="60493596"/>
    <w:rsid w:val="606A112F"/>
    <w:rsid w:val="606B08CE"/>
    <w:rsid w:val="6090479C"/>
    <w:rsid w:val="609D67F5"/>
    <w:rsid w:val="60A90BDF"/>
    <w:rsid w:val="60D75DBD"/>
    <w:rsid w:val="60E20C02"/>
    <w:rsid w:val="60EF3EAE"/>
    <w:rsid w:val="6104299E"/>
    <w:rsid w:val="610F3C35"/>
    <w:rsid w:val="612164A4"/>
    <w:rsid w:val="612D40DD"/>
    <w:rsid w:val="614B75E1"/>
    <w:rsid w:val="61791BFA"/>
    <w:rsid w:val="61864D9C"/>
    <w:rsid w:val="619A59AC"/>
    <w:rsid w:val="61A820D5"/>
    <w:rsid w:val="61B00795"/>
    <w:rsid w:val="61B5627C"/>
    <w:rsid w:val="620C1476"/>
    <w:rsid w:val="62252A89"/>
    <w:rsid w:val="623F01F9"/>
    <w:rsid w:val="624140E8"/>
    <w:rsid w:val="62575775"/>
    <w:rsid w:val="625D36CC"/>
    <w:rsid w:val="6293317A"/>
    <w:rsid w:val="629E43EE"/>
    <w:rsid w:val="62A6598F"/>
    <w:rsid w:val="62D22E2A"/>
    <w:rsid w:val="62DB493D"/>
    <w:rsid w:val="62E14ECA"/>
    <w:rsid w:val="62F134D6"/>
    <w:rsid w:val="62F510E4"/>
    <w:rsid w:val="62F71E20"/>
    <w:rsid w:val="62FF1FF7"/>
    <w:rsid w:val="63045ABC"/>
    <w:rsid w:val="630B6A91"/>
    <w:rsid w:val="6331540E"/>
    <w:rsid w:val="6337584F"/>
    <w:rsid w:val="635531A0"/>
    <w:rsid w:val="636B7A29"/>
    <w:rsid w:val="63B52314"/>
    <w:rsid w:val="63BC3D19"/>
    <w:rsid w:val="63D660C3"/>
    <w:rsid w:val="64236077"/>
    <w:rsid w:val="64270594"/>
    <w:rsid w:val="64606795"/>
    <w:rsid w:val="64684C2A"/>
    <w:rsid w:val="64690E6F"/>
    <w:rsid w:val="647616B8"/>
    <w:rsid w:val="64836AC8"/>
    <w:rsid w:val="6484532F"/>
    <w:rsid w:val="64961C6A"/>
    <w:rsid w:val="6498113D"/>
    <w:rsid w:val="649E0284"/>
    <w:rsid w:val="64A762D9"/>
    <w:rsid w:val="64EB4346"/>
    <w:rsid w:val="650A1FBA"/>
    <w:rsid w:val="650F0208"/>
    <w:rsid w:val="651F7C5A"/>
    <w:rsid w:val="65261C4B"/>
    <w:rsid w:val="6526295B"/>
    <w:rsid w:val="654015D9"/>
    <w:rsid w:val="65701820"/>
    <w:rsid w:val="65AC396E"/>
    <w:rsid w:val="65BB3869"/>
    <w:rsid w:val="65BF2817"/>
    <w:rsid w:val="65D50BF1"/>
    <w:rsid w:val="65FA00DA"/>
    <w:rsid w:val="66171B7E"/>
    <w:rsid w:val="66173024"/>
    <w:rsid w:val="6625646E"/>
    <w:rsid w:val="662D164C"/>
    <w:rsid w:val="662E4D33"/>
    <w:rsid w:val="66310299"/>
    <w:rsid w:val="663249EE"/>
    <w:rsid w:val="66337392"/>
    <w:rsid w:val="66385CFC"/>
    <w:rsid w:val="665841EF"/>
    <w:rsid w:val="6664229B"/>
    <w:rsid w:val="666B11A7"/>
    <w:rsid w:val="66944B5D"/>
    <w:rsid w:val="66961551"/>
    <w:rsid w:val="669B69E3"/>
    <w:rsid w:val="66AB57CB"/>
    <w:rsid w:val="66C46E6A"/>
    <w:rsid w:val="671C4DFF"/>
    <w:rsid w:val="67374B61"/>
    <w:rsid w:val="67591832"/>
    <w:rsid w:val="675941DE"/>
    <w:rsid w:val="67957F74"/>
    <w:rsid w:val="67A44BEA"/>
    <w:rsid w:val="67AF5370"/>
    <w:rsid w:val="68434FDF"/>
    <w:rsid w:val="684B78B0"/>
    <w:rsid w:val="686C24AB"/>
    <w:rsid w:val="68793371"/>
    <w:rsid w:val="687D136B"/>
    <w:rsid w:val="68801610"/>
    <w:rsid w:val="68EC4846"/>
    <w:rsid w:val="695F6AEF"/>
    <w:rsid w:val="696170B4"/>
    <w:rsid w:val="6967446C"/>
    <w:rsid w:val="697E3742"/>
    <w:rsid w:val="698D14F2"/>
    <w:rsid w:val="698E227C"/>
    <w:rsid w:val="6993457E"/>
    <w:rsid w:val="69BA2E75"/>
    <w:rsid w:val="69DA34FE"/>
    <w:rsid w:val="69F06B2B"/>
    <w:rsid w:val="6A3857F8"/>
    <w:rsid w:val="6A484A44"/>
    <w:rsid w:val="6A49193D"/>
    <w:rsid w:val="6A4D0E11"/>
    <w:rsid w:val="6A4E0A92"/>
    <w:rsid w:val="6A672119"/>
    <w:rsid w:val="6A8772FB"/>
    <w:rsid w:val="6A963BC6"/>
    <w:rsid w:val="6A9F553D"/>
    <w:rsid w:val="6AAC27E1"/>
    <w:rsid w:val="6AC622F4"/>
    <w:rsid w:val="6B0D6A14"/>
    <w:rsid w:val="6B17254D"/>
    <w:rsid w:val="6B2C013B"/>
    <w:rsid w:val="6B472A21"/>
    <w:rsid w:val="6B641F27"/>
    <w:rsid w:val="6B6A2965"/>
    <w:rsid w:val="6B8202F2"/>
    <w:rsid w:val="6BA10897"/>
    <w:rsid w:val="6BA13154"/>
    <w:rsid w:val="6BA4792A"/>
    <w:rsid w:val="6BAA2FDF"/>
    <w:rsid w:val="6BBB15CA"/>
    <w:rsid w:val="6BBC0504"/>
    <w:rsid w:val="6BBE6C65"/>
    <w:rsid w:val="6BC53F6C"/>
    <w:rsid w:val="6BD70EED"/>
    <w:rsid w:val="6BDB300A"/>
    <w:rsid w:val="6BF4444C"/>
    <w:rsid w:val="6BFE31AE"/>
    <w:rsid w:val="6C150B92"/>
    <w:rsid w:val="6C1A7958"/>
    <w:rsid w:val="6C866AC5"/>
    <w:rsid w:val="6C897BD4"/>
    <w:rsid w:val="6C8B5964"/>
    <w:rsid w:val="6C9352AB"/>
    <w:rsid w:val="6CC1120F"/>
    <w:rsid w:val="6CD17009"/>
    <w:rsid w:val="6CD1729E"/>
    <w:rsid w:val="6CD84431"/>
    <w:rsid w:val="6CF31CA0"/>
    <w:rsid w:val="6D14681D"/>
    <w:rsid w:val="6D350791"/>
    <w:rsid w:val="6D4A0F5D"/>
    <w:rsid w:val="6D6731D8"/>
    <w:rsid w:val="6D7A0A0C"/>
    <w:rsid w:val="6DBA0A71"/>
    <w:rsid w:val="6DC94BC4"/>
    <w:rsid w:val="6DDF1775"/>
    <w:rsid w:val="6DF12414"/>
    <w:rsid w:val="6E011761"/>
    <w:rsid w:val="6E037E65"/>
    <w:rsid w:val="6E2F28C8"/>
    <w:rsid w:val="6E457B0E"/>
    <w:rsid w:val="6E4806E2"/>
    <w:rsid w:val="6E6606A2"/>
    <w:rsid w:val="6E6C1CAF"/>
    <w:rsid w:val="6E755198"/>
    <w:rsid w:val="6E921EEE"/>
    <w:rsid w:val="6E9B13F1"/>
    <w:rsid w:val="6EB059D6"/>
    <w:rsid w:val="6EED0272"/>
    <w:rsid w:val="6EED7400"/>
    <w:rsid w:val="6EEE3BD4"/>
    <w:rsid w:val="6EF0774B"/>
    <w:rsid w:val="6EF276A9"/>
    <w:rsid w:val="6EF75107"/>
    <w:rsid w:val="6F045724"/>
    <w:rsid w:val="6F151127"/>
    <w:rsid w:val="6F185CBA"/>
    <w:rsid w:val="6F1E1D34"/>
    <w:rsid w:val="6F327C0E"/>
    <w:rsid w:val="6F431CB0"/>
    <w:rsid w:val="6F606324"/>
    <w:rsid w:val="6F714729"/>
    <w:rsid w:val="6F7D257D"/>
    <w:rsid w:val="6F8E6FC1"/>
    <w:rsid w:val="6FA471D7"/>
    <w:rsid w:val="6FA70E72"/>
    <w:rsid w:val="6FB81FF3"/>
    <w:rsid w:val="6FBC0407"/>
    <w:rsid w:val="6FDE0B13"/>
    <w:rsid w:val="6FDF250F"/>
    <w:rsid w:val="6FF64212"/>
    <w:rsid w:val="70007D2F"/>
    <w:rsid w:val="70213D77"/>
    <w:rsid w:val="703F5612"/>
    <w:rsid w:val="704D38A8"/>
    <w:rsid w:val="706C53FD"/>
    <w:rsid w:val="70762F79"/>
    <w:rsid w:val="707F0551"/>
    <w:rsid w:val="70976436"/>
    <w:rsid w:val="70D13A58"/>
    <w:rsid w:val="70D13F9C"/>
    <w:rsid w:val="70FA40B9"/>
    <w:rsid w:val="71093152"/>
    <w:rsid w:val="71273B8B"/>
    <w:rsid w:val="712D0993"/>
    <w:rsid w:val="71424645"/>
    <w:rsid w:val="714C39A4"/>
    <w:rsid w:val="715009EE"/>
    <w:rsid w:val="715C1C73"/>
    <w:rsid w:val="71606DDC"/>
    <w:rsid w:val="717C6C24"/>
    <w:rsid w:val="71810A6A"/>
    <w:rsid w:val="71A653D0"/>
    <w:rsid w:val="71BE1C27"/>
    <w:rsid w:val="71BF3E8F"/>
    <w:rsid w:val="71C52746"/>
    <w:rsid w:val="72024E64"/>
    <w:rsid w:val="724620FF"/>
    <w:rsid w:val="725E56C7"/>
    <w:rsid w:val="72717E33"/>
    <w:rsid w:val="72842795"/>
    <w:rsid w:val="728D63A0"/>
    <w:rsid w:val="728F5389"/>
    <w:rsid w:val="72B07B57"/>
    <w:rsid w:val="72BE6C80"/>
    <w:rsid w:val="72D42AB2"/>
    <w:rsid w:val="72FB4567"/>
    <w:rsid w:val="730720D8"/>
    <w:rsid w:val="73116696"/>
    <w:rsid w:val="73381411"/>
    <w:rsid w:val="734A6035"/>
    <w:rsid w:val="736E0BF8"/>
    <w:rsid w:val="73737C9B"/>
    <w:rsid w:val="737C4CF2"/>
    <w:rsid w:val="73801BB5"/>
    <w:rsid w:val="73D0268A"/>
    <w:rsid w:val="73D2626C"/>
    <w:rsid w:val="73DE57E6"/>
    <w:rsid w:val="73DF408D"/>
    <w:rsid w:val="741104C7"/>
    <w:rsid w:val="7460587D"/>
    <w:rsid w:val="74677C01"/>
    <w:rsid w:val="746E087C"/>
    <w:rsid w:val="7479651E"/>
    <w:rsid w:val="747D4984"/>
    <w:rsid w:val="74980B3C"/>
    <w:rsid w:val="74C01540"/>
    <w:rsid w:val="74C57EE1"/>
    <w:rsid w:val="74CE5B77"/>
    <w:rsid w:val="7505201B"/>
    <w:rsid w:val="750E0C28"/>
    <w:rsid w:val="752B6D15"/>
    <w:rsid w:val="753505EB"/>
    <w:rsid w:val="754041AE"/>
    <w:rsid w:val="75422270"/>
    <w:rsid w:val="754A10EE"/>
    <w:rsid w:val="7564323F"/>
    <w:rsid w:val="75750BF6"/>
    <w:rsid w:val="75773D50"/>
    <w:rsid w:val="75783162"/>
    <w:rsid w:val="75803287"/>
    <w:rsid w:val="759D7B23"/>
    <w:rsid w:val="75AC40CE"/>
    <w:rsid w:val="75CC7074"/>
    <w:rsid w:val="760D7C0C"/>
    <w:rsid w:val="76183BA3"/>
    <w:rsid w:val="7633068C"/>
    <w:rsid w:val="76343C7F"/>
    <w:rsid w:val="76505AF3"/>
    <w:rsid w:val="765156D3"/>
    <w:rsid w:val="76517058"/>
    <w:rsid w:val="765B10CF"/>
    <w:rsid w:val="767336E6"/>
    <w:rsid w:val="76BE5845"/>
    <w:rsid w:val="76F302E9"/>
    <w:rsid w:val="77183EE7"/>
    <w:rsid w:val="771C09B6"/>
    <w:rsid w:val="771D51ED"/>
    <w:rsid w:val="77415D89"/>
    <w:rsid w:val="77426564"/>
    <w:rsid w:val="775A0C64"/>
    <w:rsid w:val="77D978E7"/>
    <w:rsid w:val="77FC2CAB"/>
    <w:rsid w:val="782460A2"/>
    <w:rsid w:val="782969D4"/>
    <w:rsid w:val="782D479D"/>
    <w:rsid w:val="783B1FF9"/>
    <w:rsid w:val="783C7222"/>
    <w:rsid w:val="784721E9"/>
    <w:rsid w:val="78616C9E"/>
    <w:rsid w:val="787A3106"/>
    <w:rsid w:val="787D553A"/>
    <w:rsid w:val="78837D88"/>
    <w:rsid w:val="788851FC"/>
    <w:rsid w:val="789B117E"/>
    <w:rsid w:val="78A66497"/>
    <w:rsid w:val="78D63C93"/>
    <w:rsid w:val="78DB6AE8"/>
    <w:rsid w:val="78FB07F3"/>
    <w:rsid w:val="790D1370"/>
    <w:rsid w:val="790F500C"/>
    <w:rsid w:val="791478FD"/>
    <w:rsid w:val="79164C7A"/>
    <w:rsid w:val="791807F1"/>
    <w:rsid w:val="79247716"/>
    <w:rsid w:val="792727C7"/>
    <w:rsid w:val="79504A2B"/>
    <w:rsid w:val="795064EA"/>
    <w:rsid w:val="795A0943"/>
    <w:rsid w:val="79726DB5"/>
    <w:rsid w:val="797445B9"/>
    <w:rsid w:val="79773FB2"/>
    <w:rsid w:val="79803917"/>
    <w:rsid w:val="79880214"/>
    <w:rsid w:val="799A5A7F"/>
    <w:rsid w:val="799C1639"/>
    <w:rsid w:val="79BC609F"/>
    <w:rsid w:val="79CC5523"/>
    <w:rsid w:val="79CC5C32"/>
    <w:rsid w:val="79CF573F"/>
    <w:rsid w:val="79E727B6"/>
    <w:rsid w:val="79FC1B9F"/>
    <w:rsid w:val="79FE5ACA"/>
    <w:rsid w:val="7A4207D0"/>
    <w:rsid w:val="7A6B7F52"/>
    <w:rsid w:val="7A70727A"/>
    <w:rsid w:val="7A935750"/>
    <w:rsid w:val="7A971038"/>
    <w:rsid w:val="7A9C60B1"/>
    <w:rsid w:val="7AB54795"/>
    <w:rsid w:val="7ABF1939"/>
    <w:rsid w:val="7ADF4A23"/>
    <w:rsid w:val="7AE462AA"/>
    <w:rsid w:val="7AE92B1E"/>
    <w:rsid w:val="7AEE15DA"/>
    <w:rsid w:val="7B0B367B"/>
    <w:rsid w:val="7B0C228C"/>
    <w:rsid w:val="7B2004C4"/>
    <w:rsid w:val="7B33730A"/>
    <w:rsid w:val="7B460291"/>
    <w:rsid w:val="7B680198"/>
    <w:rsid w:val="7B8834E1"/>
    <w:rsid w:val="7B930C99"/>
    <w:rsid w:val="7BAD0D1D"/>
    <w:rsid w:val="7BAD4D84"/>
    <w:rsid w:val="7BB61963"/>
    <w:rsid w:val="7BB74EF5"/>
    <w:rsid w:val="7BBE3B41"/>
    <w:rsid w:val="7BCB1AB1"/>
    <w:rsid w:val="7BD7221B"/>
    <w:rsid w:val="7BEE2F02"/>
    <w:rsid w:val="7BFA66D3"/>
    <w:rsid w:val="7BFF20D7"/>
    <w:rsid w:val="7C0D47B5"/>
    <w:rsid w:val="7C127A94"/>
    <w:rsid w:val="7C292741"/>
    <w:rsid w:val="7C3967F5"/>
    <w:rsid w:val="7C3C65E0"/>
    <w:rsid w:val="7C407A28"/>
    <w:rsid w:val="7C5737D4"/>
    <w:rsid w:val="7C5753D1"/>
    <w:rsid w:val="7C790975"/>
    <w:rsid w:val="7C94466F"/>
    <w:rsid w:val="7CA34610"/>
    <w:rsid w:val="7CB06715"/>
    <w:rsid w:val="7CBC27EE"/>
    <w:rsid w:val="7CC62867"/>
    <w:rsid w:val="7CC67D20"/>
    <w:rsid w:val="7D3C01E9"/>
    <w:rsid w:val="7D504F4F"/>
    <w:rsid w:val="7D554AA0"/>
    <w:rsid w:val="7D655A8B"/>
    <w:rsid w:val="7D83624E"/>
    <w:rsid w:val="7DA725DA"/>
    <w:rsid w:val="7DAB3794"/>
    <w:rsid w:val="7DC31401"/>
    <w:rsid w:val="7DC86AF4"/>
    <w:rsid w:val="7DE322A9"/>
    <w:rsid w:val="7DF1543A"/>
    <w:rsid w:val="7E5F0356"/>
    <w:rsid w:val="7E8E06B5"/>
    <w:rsid w:val="7E8E7599"/>
    <w:rsid w:val="7E916DE5"/>
    <w:rsid w:val="7E9475FD"/>
    <w:rsid w:val="7EB61097"/>
    <w:rsid w:val="7EE34D0A"/>
    <w:rsid w:val="7EE529FB"/>
    <w:rsid w:val="7EFF750A"/>
    <w:rsid w:val="7F107654"/>
    <w:rsid w:val="7F722B4F"/>
    <w:rsid w:val="7F8020D9"/>
    <w:rsid w:val="7FC3677B"/>
    <w:rsid w:val="7FD221CB"/>
    <w:rsid w:val="7FE8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beforeAutospacing="0" w:afterAutospacing="0" w:line="560" w:lineRule="exact"/>
      <w:ind w:firstLine="1440" w:firstLineChars="200"/>
      <w:jc w:val="left"/>
      <w:outlineLvl w:val="2"/>
    </w:pPr>
    <w:rPr>
      <w:rFonts w:ascii="宋体" w:hAnsi="宋体" w:eastAsia="仿宋_GB2312" w:cs="宋体"/>
      <w:b/>
      <w:bCs/>
      <w:kern w:val="0"/>
      <w:sz w:val="32"/>
      <w:szCs w:val="27"/>
      <w:lang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4">
    <w:name w:val="Body Text"/>
    <w:basedOn w:val="1"/>
    <w:next w:val="1"/>
    <w:qFormat/>
    <w:uiPriority w:val="0"/>
    <w:pPr>
      <w:spacing w:after="120"/>
    </w:pPr>
    <w:rPr>
      <w:szCs w:val="22"/>
    </w:rPr>
  </w:style>
  <w:style w:type="paragraph" w:styleId="5">
    <w:name w:val="Body Text Indent 2"/>
    <w:basedOn w:val="1"/>
    <w:qFormat/>
    <w:uiPriority w:val="0"/>
    <w:pPr>
      <w:spacing w:line="300" w:lineRule="auto"/>
      <w:ind w:left="315" w:firstLine="585"/>
    </w:pPr>
    <w:rPr>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2022-07-05T00:42:00Z</dcterms:created>
  <dc:creator>yeqing</dc:creator>
  <cp:lastModifiedBy>yeqing</cp:lastModifiedBy>
  <dcterms:modified xsi:type="dcterms:W3CDTF">2022-07-05T08:50:03Z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